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Claim Denial Risk Prediction System</w:t>
      </w:r>
    </w:p>
    <w:p>
      <w:pPr>
        <w:jc w:val="center"/>
      </w:pPr>
      <w:r>
        <w:rPr>
          <w:color w:val="2F5496"/>
          <w:sz w:val="24"/>
        </w:rPr>
        <w:t>Ensemble Health Partners -- AI Team Hiring Assessment</w:t>
      </w:r>
    </w:p>
    <w:p/>
    <w:p>
      <w:pPr>
        <w:pStyle w:val="Heading1"/>
      </w:pPr>
      <w:r>
        <w:t>1. Executive Summary</w:t>
      </w:r>
    </w:p>
    <w:p>
      <w:r>
        <w:t>This project delivers a production-ready pre-bill denial prediction system that combines classical machine learning with a GenAI explanation engine. The system scores 500 current claims for denial risk, ranks them by priority, and generates plain-English corrective action recommendations for the highest-risk claims.</w:t>
      </w:r>
    </w:p>
    <w:p>
      <w:r>
        <w:t>After evaluating 10 model variants across 5 algorithm families, a Calibrated Logistic Regression model was selected for production deployment. It captures 45.7% of all denials within the top 25% review window -- nearly double the 25% expected from random review -- and provides reliable probability estimates with a Brier score of 0.137.</w:t>
      </w:r>
    </w:p>
    <w:p>
      <w:pPr>
        <w:pStyle w:val="Heading1"/>
      </w:pPr>
      <w:r>
        <w:t>2. Business Impact</w:t>
      </w:r>
    </w:p>
    <w:p>
      <w:r>
        <w:t>Denied claims are one of the largest sources of revenue leakage in healthcare revenue cycle management. Each denied claim requires rework -- investigation, correction, resubmission, and follow-up -- costing $25-118 per claim in administrative overhead. Pre-bill denial prediction moves this intervention upstream: instead of reacting to denials after submission, billers can fix issues before the claim leaves the door.</w:t>
      </w:r>
    </w:p>
    <w:p>
      <w:pPr>
        <w:pStyle w:val="ListBullet"/>
      </w:pPr>
      <w:r>
        <w:t>45.7% of denials captured in the top 25% highest-risk claims -- nearly 2x random review</w:t>
      </w:r>
    </w:p>
    <w:p>
      <w:pPr>
        <w:pStyle w:val="ListBullet"/>
      </w:pPr>
      <w:r>
        <w:t>125 claims flagged as High risk for immediate biller attention</w:t>
      </w:r>
    </w:p>
    <w:p>
      <w:pPr>
        <w:pStyle w:val="ListBullet"/>
      </w:pPr>
      <w:r>
        <w:t>10 claims receive AI-generated plain-English explanations with specific corrective actions</w:t>
      </w:r>
    </w:p>
    <w:p>
      <w:pPr>
        <w:pStyle w:val="ListBullet"/>
      </w:pPr>
      <w:r>
        <w:t>GenAI explanations include uncertainty disclaimers to prevent over-reliance</w:t>
      </w:r>
    </w:p>
    <w:p>
      <w:pPr>
        <w:pStyle w:val="ListBullet"/>
      </w:pPr>
      <w:r>
        <w:t>Full audit trail for every AI-generated explanation (tokens, latency, quality validation)</w:t>
      </w:r>
    </w:p>
    <w:p>
      <w:pPr>
        <w:pStyle w:val="Heading1"/>
      </w:pPr>
      <w:r>
        <w:t>3. Key Findings</w:t>
      </w:r>
    </w:p>
    <w:p>
      <w:r>
        <w:t>The most predictive risk factors are administrative completeness checks: whether the claim has a required prior authorization, whether supporting documentation is attached, whether a required referral is present, and whether the provider is in-network. These are all actionable before submission, making the system operationally practical.</w:t>
      </w:r>
    </w:p>
    <w:p>
      <w:r>
        <w:t>Ten model architectures were evaluated. Logistic Regression variants achieved the highest performance (49.51% capture on validation), while Gradient Boosting was the best non-linear alternative at 48.54%. The strong performance of linear models confirms that administrative gap flags have a direct, additive relationship with denial outcomes.</w:t>
      </w:r>
    </w:p>
    <w:p>
      <w:pPr>
        <w:pStyle w:val="Heading1"/>
      </w:pPr>
      <w:r>
        <w:t>4. Model Selection Results</w:t>
      </w:r>
    </w:p>
    <w:p>
      <w:r>
        <w:t>The table below shows the top 5 models ranked by denial capture rate within the top 25% review window. The Calibrated Logistic Regression model was selected for production because it matches the best capture rate while providing substantially more reliable probability estimates (34% improvement in calibration).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Capture@25%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72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Brier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Calibrated Logistic Regression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49.51%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0.137 -- Best calibration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Logistic Regression 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49.51%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Gradient Boosting (GBM)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Tree Ensemble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48.54%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0.165 -- Best non-linear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Voting Ensemble (LR+RF+GBM)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Ensemble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48.54%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Tree Ensemble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39.81%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0.155</w:t>
            </w:r>
          </w:p>
        </w:tc>
      </w:tr>
    </w:tbl>
    <w:p/>
    <w:p>
      <w:pPr>
        <w:pStyle w:val="Heading2"/>
      </w:pPr>
      <w:r>
        <w:t>Final Test Set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Deployed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Calibrated Logistic Regression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Denial Capture at 25%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 at 25%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Brier Score (Calibrated)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High-Risk Claims Flagged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125 of 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gemma4:31b-cloud (Ollama)</w:t>
            </w:r>
          </w:p>
        </w:tc>
      </w:tr>
    </w:tbl>
    <w:p/>
    <w:p>
      <w:pPr>
        <w:pStyle w:val="Heading1"/>
      </w:pPr>
      <w:r>
        <w:t>5. GenAI Explanation Engine</w:t>
      </w:r>
    </w:p>
    <w:p>
      <w:r>
        <w:t>The system uses Ollama Cloud's gemma4:31b-cloud model to generate plain-English explanations for the 10 highest-risk claims. Each explanation contains three elements:</w:t>
      </w:r>
    </w:p>
    <w:p>
      <w:pPr>
        <w:pStyle w:val="ListBullet"/>
      </w:pPr>
      <w:r>
        <w:t>A statistical disclaimer ("This is a statistical estimate and not a guaranteed outcome")</w:t>
      </w:r>
    </w:p>
    <w:p>
      <w:pPr>
        <w:pStyle w:val="ListBullet"/>
      </w:pPr>
      <w:r>
        <w:t>Identification of specific risk factors (missing authorization, missing documentation)</w:t>
      </w:r>
    </w:p>
    <w:p>
      <w:pPr>
        <w:pStyle w:val="ListBullet"/>
      </w:pPr>
      <w:r>
        <w:t>Actionable corrective steps (resolve, attach, verify, confirm)</w:t>
      </w:r>
    </w:p>
    <w:p>
      <w:r>
        <w:t>Every AI explanation is validated through a Pydantic schema before being accepted. The schema enforces disclaimer presence, minimum length, and structural completeness. If validation fails, a deterministic template is used as fallback. In the latest production run: 10 API calls, 0 fallbacks, 100% validation pass rate.</w:t>
      </w:r>
    </w:p>
    <w:p>
      <w:pPr>
        <w:pStyle w:val="Heading1"/>
      </w:pPr>
      <w:r>
        <w:t>6. Safety &amp; Auditability</w:t>
      </w:r>
    </w:p>
    <w:p>
      <w:r>
        <w:t>The system includes a production-grade LLM audit infrastructure that records every API call with full metadata: token usage (prompt + completion), latency, JSON parse success, Pydantic validation success, and quality flags (disclaimer presence, actionable content, hallucination markers). No patient data is sent to the LLM -- only engineered features and risk factor labels. All audit logs are stored locally in JSON format with no external telemetry.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Prompt tokens + completion tokens from Ollama ChatResponse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Latency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duration and evaluation duration per call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Response 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parse success, Pydantic schema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Quality Checks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Disclaimer, action verbs, min length, PII/hallucination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JSON audit logs in data/output/audit_logs/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HIPAA Alignment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external telemetry, no PII in prompts, response truncation</w:t>
            </w:r>
          </w:p>
        </w:tc>
      </w:tr>
    </w:tbl>
    <w:p/>
    <w:p>
      <w:pPr>
        <w:pStyle w:val="Heading1"/>
      </w:pPr>
      <w:r>
        <w:t>7. Limitations &amp; Recommendations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Synthetic training data: Real claims would include ICD-10/CPT codes and 835 remittance data, significantly improving prediction accuracy.</w:t>
      </w:r>
    </w:p>
    <w:p>
      <w:pPr>
        <w:pStyle w:val="ListBullet"/>
      </w:pPr>
      <w:r>
        <w:t>Single global model: Different payers have distinct denial patterns; payer-specific sub-models may improve performance.</w:t>
      </w:r>
    </w:p>
    <w:p>
      <w:pPr>
        <w:pStyle w:val="ListBullet"/>
      </w:pPr>
      <w:r>
        <w:t>Small dataset: 3,200 claims is adequate for linear models but insufficient for deep learning approaches.</w:t>
      </w:r>
    </w:p>
    <w:p>
      <w:pPr>
        <w:pStyle w:val="ListBullet"/>
      </w:pPr>
      <w:r>
        <w:t>Binary outcome only: Does not distinguish administrative denials from medical necessity or coding denials.</w:t>
      </w:r>
    </w:p>
    <w:p>
      <w:pPr>
        <w:pStyle w:val="Heading2"/>
      </w:pPr>
      <w:r>
        <w:t>Production Recommendations</w:t>
      </w:r>
    </w:p>
    <w:p>
      <w:pPr>
        <w:pStyle w:val="ListBullet"/>
      </w:pPr>
      <w:r>
        <w:t>Deploy the Calibrated Logistic Regression model immediately for the 25% review workflow.</w:t>
      </w:r>
    </w:p>
    <w:p>
      <w:pPr>
        <w:pStyle w:val="ListBullet"/>
      </w:pPr>
      <w:r>
        <w:t>Retrain monthly as new claims and denial outcomes become available.</w:t>
      </w:r>
    </w:p>
    <w:p>
      <w:pPr>
        <w:pStyle w:val="ListBullet"/>
      </w:pPr>
      <w:r>
        <w:t>Monitor Brier score as an early warning for model drift.</w:t>
      </w:r>
    </w:p>
    <w:p>
      <w:pPr>
        <w:pStyle w:val="ListBullet"/>
      </w:pPr>
      <w:r>
        <w:t>A/B test the flagged review workflow against current process to measure actual denial reduction.</w:t>
      </w:r>
    </w:p>
    <w:p>
      <w:pPr>
        <w:pStyle w:val="ListBullet"/>
      </w:pPr>
      <w:r>
        <w:t>Incorporate ICD-10/CPT code features when real claims data becomes available.</w:t>
      </w:r>
    </w:p>
    <w:p>
      <w:pPr>
        <w:pStyle w:val="ListBullet"/>
      </w:pPr>
      <w:r>
        <w:t>Build payer-specific sub-models for the highest-volume payers.</w:t>
      </w:r>
    </w:p>
    <w:p/>
    <w:p>
      <w:pPr>
        <w:jc w:val="center"/>
      </w:pPr>
      <w:r>
        <w:rPr>
          <w:color w:val="808080"/>
          <w:sz w:val="16"/>
        </w:rPr>
        <w:t>Confidential -- Ensemble Health Partners Hiring Assessment -- May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