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343A7" w14:textId="77777777" w:rsidR="00F245D1" w:rsidRDefault="00000000">
      <w:pPr>
        <w:jc w:val="center"/>
      </w:pPr>
      <w:r>
        <w:rPr>
          <w:b/>
          <w:color w:val="1F4E79"/>
          <w:sz w:val="36"/>
        </w:rPr>
        <w:t>Claim Denial Risk Prediction System</w:t>
      </w:r>
    </w:p>
    <w:p w14:paraId="6140C586" w14:textId="2306B22D" w:rsidR="00F245D1" w:rsidRDefault="00000000" w:rsidP="000B14BC">
      <w:pPr>
        <w:jc w:val="center"/>
      </w:pPr>
      <w:r>
        <w:rPr>
          <w:i/>
          <w:sz w:val="24"/>
        </w:rPr>
        <w:t>Project Documentation</w:t>
      </w:r>
    </w:p>
    <w:p w14:paraId="0CE69759" w14:textId="77777777" w:rsidR="00F245D1" w:rsidRDefault="00000000">
      <w:pPr>
        <w:pStyle w:val="Heading1"/>
      </w:pPr>
      <w:r>
        <w:t>1. Executive Summary</w:t>
      </w:r>
    </w:p>
    <w:p w14:paraId="0548F9DE" w14:textId="13AB5F75" w:rsidR="00F245D1" w:rsidRDefault="000B14BC">
      <w:pPr>
        <w:spacing w:after="160"/>
      </w:pPr>
      <w:r>
        <w:t>I</w:t>
      </w:r>
      <w:r w:rsidR="00000000">
        <w:t xml:space="preserve"> built a claim denial risk prediction system that identifies which claims are most likely to be denied before they are submitted. The model ranks all 500 current claims by risk and assigns each to a High, Medium, or Low tier. The review team can focus the limited 25% review capacity on the highest-risk claims, catching nearly twice as many denials as random triage.</w:t>
      </w:r>
    </w:p>
    <w:p w14:paraId="5BA66687" w14:textId="77777777" w:rsidR="00F245D1" w:rsidRDefault="00000000">
      <w:pPr>
        <w:spacing w:after="160"/>
      </w:pPr>
      <w:r>
        <w:t>A GenAI explanation engine produces plain-English summaries for the top 10 highest-risk claims, telling the analyst exactly why a claim is flagged and what to fix before submission.</w:t>
      </w:r>
    </w:p>
    <w:p w14:paraId="19B841AE" w14:textId="77777777" w:rsidR="00F245D1" w:rsidRDefault="00000000">
      <w:pPr>
        <w:pStyle w:val="Heading1"/>
      </w:pPr>
      <w:r>
        <w:t>2. Business Impact</w:t>
      </w:r>
    </w:p>
    <w:p w14:paraId="4CBC749F" w14:textId="77777777" w:rsidR="00F245D1" w:rsidRDefault="00000000">
      <w:pPr>
        <w:spacing w:after="160"/>
      </w:pPr>
      <w:r>
        <w:t>The model captures 45.7% of all denials within the top 25% of claims -- a 1.76x improvement over random selection (which would catch only 26%). Of the 139 claims flagged for review, approximately 48 out of every 100 are actual denials that can be corrected before submission.</w:t>
      </w:r>
    </w:p>
    <w:p w14:paraId="74D2CB61" w14:textId="77777777" w:rsidR="00F245D1" w:rsidRDefault="00000000">
      <w:pPr>
        <w:spacing w:after="160"/>
      </w:pPr>
      <w:r>
        <w:t>Based on the historical data, denied claims represent roughly $4.58 million in expected payments. By catching 45.7% of these in the review queue, the system could help protect approximately $2.09 million in payments that might otherwise be delayed or lost. Each batch prevents roughly 31 additional denials compared to random triage.</w:t>
      </w:r>
    </w:p>
    <w:p w14:paraId="55D13D5A" w14:textId="77777777" w:rsidR="00F245D1" w:rsidRDefault="00000000">
      <w:pPr>
        <w:spacing w:after="80"/>
      </w:pPr>
      <w:r>
        <w:rPr>
          <w:b/>
        </w:rPr>
        <w:t>Current Claims Tier Distribution:</w:t>
      </w:r>
    </w:p>
    <w:tbl>
      <w:tblPr>
        <w:tblStyle w:val="TableGrid"/>
        <w:tblW w:w="0" w:type="auto"/>
        <w:tblLook w:val="04A0" w:firstRow="1" w:lastRow="0" w:firstColumn="1" w:lastColumn="0" w:noHBand="0" w:noVBand="1"/>
      </w:tblPr>
      <w:tblGrid>
        <w:gridCol w:w="2160"/>
        <w:gridCol w:w="2160"/>
        <w:gridCol w:w="2160"/>
        <w:gridCol w:w="2160"/>
      </w:tblGrid>
      <w:tr w:rsidR="00F245D1" w14:paraId="1A9F2AD6" w14:textId="77777777">
        <w:tc>
          <w:tcPr>
            <w:tcW w:w="2160" w:type="dxa"/>
            <w:shd w:val="clear" w:color="auto" w:fill="D9E2F3"/>
          </w:tcPr>
          <w:p w14:paraId="572B7BF0" w14:textId="77777777" w:rsidR="00F245D1" w:rsidRDefault="00000000">
            <w:r>
              <w:rPr>
                <w:b/>
                <w:sz w:val="20"/>
              </w:rPr>
              <w:t>Tier</w:t>
            </w:r>
          </w:p>
        </w:tc>
        <w:tc>
          <w:tcPr>
            <w:tcW w:w="2160" w:type="dxa"/>
            <w:shd w:val="clear" w:color="auto" w:fill="D9E2F3"/>
          </w:tcPr>
          <w:p w14:paraId="3A3E82A6" w14:textId="77777777" w:rsidR="00F245D1" w:rsidRDefault="00000000">
            <w:r>
              <w:rPr>
                <w:b/>
                <w:sz w:val="20"/>
              </w:rPr>
              <w:t>Count</w:t>
            </w:r>
          </w:p>
        </w:tc>
        <w:tc>
          <w:tcPr>
            <w:tcW w:w="2160" w:type="dxa"/>
            <w:shd w:val="clear" w:color="auto" w:fill="D9E2F3"/>
          </w:tcPr>
          <w:p w14:paraId="0B26F9B1" w14:textId="77777777" w:rsidR="00F245D1" w:rsidRDefault="00000000">
            <w:r>
              <w:rPr>
                <w:b/>
                <w:sz w:val="20"/>
              </w:rPr>
              <w:t>Review Priority</w:t>
            </w:r>
          </w:p>
        </w:tc>
        <w:tc>
          <w:tcPr>
            <w:tcW w:w="2160" w:type="dxa"/>
            <w:shd w:val="clear" w:color="auto" w:fill="D9E2F3"/>
          </w:tcPr>
          <w:p w14:paraId="7145B78A" w14:textId="77777777" w:rsidR="00F245D1" w:rsidRDefault="00000000">
            <w:r>
              <w:rPr>
                <w:b/>
                <w:sz w:val="20"/>
              </w:rPr>
              <w:t>Probability Range</w:t>
            </w:r>
          </w:p>
        </w:tc>
      </w:tr>
      <w:tr w:rsidR="00F245D1" w14:paraId="02227320" w14:textId="77777777">
        <w:tc>
          <w:tcPr>
            <w:tcW w:w="2160" w:type="dxa"/>
          </w:tcPr>
          <w:p w14:paraId="673B1766" w14:textId="77777777" w:rsidR="00F245D1" w:rsidRDefault="00000000">
            <w:r>
              <w:rPr>
                <w:sz w:val="20"/>
              </w:rPr>
              <w:t>High</w:t>
            </w:r>
          </w:p>
        </w:tc>
        <w:tc>
          <w:tcPr>
            <w:tcW w:w="2160" w:type="dxa"/>
          </w:tcPr>
          <w:p w14:paraId="60FDA514" w14:textId="77777777" w:rsidR="00F245D1" w:rsidRDefault="00000000">
            <w:r>
              <w:rPr>
                <w:sz w:val="20"/>
              </w:rPr>
              <w:t>125</w:t>
            </w:r>
          </w:p>
        </w:tc>
        <w:tc>
          <w:tcPr>
            <w:tcW w:w="2160" w:type="dxa"/>
          </w:tcPr>
          <w:p w14:paraId="7DB2E839" w14:textId="77777777" w:rsidR="00F245D1" w:rsidRDefault="00000000">
            <w:r>
              <w:rPr>
                <w:sz w:val="20"/>
              </w:rPr>
              <w:t>Mandatory review</w:t>
            </w:r>
          </w:p>
        </w:tc>
        <w:tc>
          <w:tcPr>
            <w:tcW w:w="2160" w:type="dxa"/>
          </w:tcPr>
          <w:p w14:paraId="5383CB7E" w14:textId="77777777" w:rsidR="00F245D1" w:rsidRDefault="00000000">
            <w:r>
              <w:rPr>
                <w:sz w:val="20"/>
              </w:rPr>
              <w:t>58% - 94%</w:t>
            </w:r>
          </w:p>
        </w:tc>
      </w:tr>
      <w:tr w:rsidR="00F245D1" w14:paraId="538A7E16" w14:textId="77777777">
        <w:tc>
          <w:tcPr>
            <w:tcW w:w="2160" w:type="dxa"/>
          </w:tcPr>
          <w:p w14:paraId="7EA737A3" w14:textId="77777777" w:rsidR="00F245D1" w:rsidRDefault="00000000">
            <w:r>
              <w:rPr>
                <w:sz w:val="20"/>
              </w:rPr>
              <w:t>Medium</w:t>
            </w:r>
          </w:p>
        </w:tc>
        <w:tc>
          <w:tcPr>
            <w:tcW w:w="2160" w:type="dxa"/>
          </w:tcPr>
          <w:p w14:paraId="700E5E14" w14:textId="77777777" w:rsidR="00F245D1" w:rsidRDefault="00000000">
            <w:r>
              <w:rPr>
                <w:sz w:val="20"/>
              </w:rPr>
              <w:t>125</w:t>
            </w:r>
          </w:p>
        </w:tc>
        <w:tc>
          <w:tcPr>
            <w:tcW w:w="2160" w:type="dxa"/>
          </w:tcPr>
          <w:p w14:paraId="723C0B64" w14:textId="77777777" w:rsidR="00F245D1" w:rsidRDefault="00000000">
            <w:r>
              <w:rPr>
                <w:sz w:val="20"/>
              </w:rPr>
              <w:t>Overflow capacity</w:t>
            </w:r>
          </w:p>
        </w:tc>
        <w:tc>
          <w:tcPr>
            <w:tcW w:w="2160" w:type="dxa"/>
          </w:tcPr>
          <w:p w14:paraId="048DEB5A" w14:textId="77777777" w:rsidR="00F245D1" w:rsidRDefault="00000000">
            <w:r>
              <w:rPr>
                <w:sz w:val="20"/>
              </w:rPr>
              <w:t>40% - 58%</w:t>
            </w:r>
          </w:p>
        </w:tc>
      </w:tr>
      <w:tr w:rsidR="00F245D1" w14:paraId="7A0DB25D" w14:textId="77777777">
        <w:tc>
          <w:tcPr>
            <w:tcW w:w="2160" w:type="dxa"/>
          </w:tcPr>
          <w:p w14:paraId="0313FA26" w14:textId="77777777" w:rsidR="00F245D1" w:rsidRDefault="00000000">
            <w:r>
              <w:rPr>
                <w:sz w:val="20"/>
              </w:rPr>
              <w:t>Low</w:t>
            </w:r>
          </w:p>
        </w:tc>
        <w:tc>
          <w:tcPr>
            <w:tcW w:w="2160" w:type="dxa"/>
          </w:tcPr>
          <w:p w14:paraId="3070235A" w14:textId="77777777" w:rsidR="00F245D1" w:rsidRDefault="00000000">
            <w:r>
              <w:rPr>
                <w:sz w:val="20"/>
              </w:rPr>
              <w:t>250</w:t>
            </w:r>
          </w:p>
        </w:tc>
        <w:tc>
          <w:tcPr>
            <w:tcW w:w="2160" w:type="dxa"/>
          </w:tcPr>
          <w:p w14:paraId="5908F93B" w14:textId="77777777" w:rsidR="00F245D1" w:rsidRDefault="00000000">
            <w:r>
              <w:rPr>
                <w:sz w:val="20"/>
              </w:rPr>
              <w:t>Standard submission</w:t>
            </w:r>
          </w:p>
        </w:tc>
        <w:tc>
          <w:tcPr>
            <w:tcW w:w="2160" w:type="dxa"/>
          </w:tcPr>
          <w:p w14:paraId="484E2C7E" w14:textId="77777777" w:rsidR="00F245D1" w:rsidRDefault="00000000">
            <w:r>
              <w:rPr>
                <w:sz w:val="20"/>
              </w:rPr>
              <w:t>11% - 40%</w:t>
            </w:r>
          </w:p>
        </w:tc>
      </w:tr>
    </w:tbl>
    <w:p w14:paraId="7A809CC2" w14:textId="77777777" w:rsidR="00F245D1" w:rsidRDefault="00F245D1"/>
    <w:p w14:paraId="330AABCC" w14:textId="77777777" w:rsidR="00F245D1" w:rsidRDefault="00000000">
      <w:pPr>
        <w:pStyle w:val="Heading1"/>
      </w:pPr>
      <w:r>
        <w:t>3. Key Findings -- What Drives Denials</w:t>
      </w:r>
    </w:p>
    <w:p w14:paraId="3B6D8B8C" w14:textId="77777777" w:rsidR="00F245D1" w:rsidRDefault="00000000">
      <w:pPr>
        <w:spacing w:after="80"/>
      </w:pPr>
      <w:r>
        <w:t>The model identified clear, actionable patterns that increase denial risk:</w:t>
      </w:r>
    </w:p>
    <w:p w14:paraId="748F5CE9" w14:textId="77777777" w:rsidR="00F245D1" w:rsidRDefault="00000000">
      <w:pPr>
        <w:pStyle w:val="ListBullet"/>
        <w:spacing w:after="60"/>
      </w:pPr>
      <w:r>
        <w:t>Medicaid MCO claims: denial rate of 31%, nearly double the commercial rate of 15%.</w:t>
      </w:r>
    </w:p>
    <w:p w14:paraId="3AEC5BCB" w14:textId="77777777" w:rsidR="00F245D1" w:rsidRDefault="00000000">
      <w:pPr>
        <w:pStyle w:val="ListBullet"/>
        <w:spacing w:after="60"/>
      </w:pPr>
      <w:r>
        <w:t>Inpatient visits: denial rate of 31%, compared to 18-20% for other visit types.</w:t>
      </w:r>
    </w:p>
    <w:p w14:paraId="188A4C0C" w14:textId="77777777" w:rsidR="00F245D1" w:rsidRDefault="00000000">
      <w:pPr>
        <w:pStyle w:val="ListBullet"/>
        <w:spacing w:after="60"/>
      </w:pPr>
      <w:r>
        <w:t>Missing prior authorization alone raises denial risk to 47%.</w:t>
      </w:r>
    </w:p>
    <w:p w14:paraId="0C941EE9" w14:textId="77777777" w:rsidR="00F245D1" w:rsidRDefault="00000000">
      <w:pPr>
        <w:pStyle w:val="ListBullet"/>
        <w:spacing w:after="60"/>
      </w:pPr>
      <w:r>
        <w:t>Missing documentation raises denial risk to 39%.</w:t>
      </w:r>
    </w:p>
    <w:p w14:paraId="29728D1D" w14:textId="77777777" w:rsidR="00F245D1" w:rsidRDefault="00000000">
      <w:pPr>
        <w:pStyle w:val="ListBullet"/>
        <w:spacing w:after="60"/>
      </w:pPr>
      <w:r>
        <w:t>When both authorization and documentation are missing together, denial risk jumps to 74%.</w:t>
      </w:r>
    </w:p>
    <w:p w14:paraId="2A9C5B6B" w14:textId="77777777" w:rsidR="00F245D1" w:rsidRDefault="00000000">
      <w:pPr>
        <w:spacing w:after="160"/>
      </w:pPr>
      <w:r>
        <w:lastRenderedPageBreak/>
        <w:t>These are not mysterious statistical signals -- they are concrete operational gaps that the review team can fix before submission. The model simply surfaces them automatically and ranks claims by combined risk.</w:t>
      </w:r>
    </w:p>
    <w:p w14:paraId="4B6BCF18" w14:textId="77777777" w:rsidR="00F245D1" w:rsidRDefault="00000000">
      <w:pPr>
        <w:pStyle w:val="Heading1"/>
      </w:pPr>
      <w:r>
        <w:t>4. Model Selection Results</w:t>
      </w:r>
    </w:p>
    <w:p w14:paraId="01F4A08B" w14:textId="77777777" w:rsidR="00F245D1" w:rsidRDefault="00000000">
      <w:pPr>
        <w:spacing w:after="120"/>
      </w:pPr>
      <w:r>
        <w:t>We tested five model architectures in an active learning experiment to find the best performer. The selected model is Calibrated Logistic Regression, which delivers the same denial capture rate as other top performers while providing the most reliable probability estimates for tier assignment.</w:t>
      </w:r>
    </w:p>
    <w:p w14:paraId="20BF994A" w14:textId="77777777" w:rsidR="00F245D1" w:rsidRDefault="00000000">
      <w:pPr>
        <w:spacing w:after="80"/>
      </w:pPr>
      <w:r>
        <w:rPr>
          <w:b/>
        </w:rPr>
        <w:t>Experiment Leaderboard:</w:t>
      </w:r>
    </w:p>
    <w:tbl>
      <w:tblPr>
        <w:tblStyle w:val="TableGrid"/>
        <w:tblW w:w="0" w:type="auto"/>
        <w:tblLook w:val="04A0" w:firstRow="1" w:lastRow="0" w:firstColumn="1" w:lastColumn="0" w:noHBand="0" w:noVBand="1"/>
      </w:tblPr>
      <w:tblGrid>
        <w:gridCol w:w="1728"/>
        <w:gridCol w:w="1728"/>
        <w:gridCol w:w="1728"/>
        <w:gridCol w:w="1728"/>
        <w:gridCol w:w="1728"/>
      </w:tblGrid>
      <w:tr w:rsidR="00F245D1" w14:paraId="7E60E7A4" w14:textId="77777777">
        <w:tc>
          <w:tcPr>
            <w:tcW w:w="1728" w:type="dxa"/>
            <w:shd w:val="clear" w:color="auto" w:fill="D9E2F3"/>
          </w:tcPr>
          <w:p w14:paraId="7168667A" w14:textId="77777777" w:rsidR="00F245D1" w:rsidRDefault="00000000">
            <w:r>
              <w:rPr>
                <w:b/>
                <w:sz w:val="20"/>
              </w:rPr>
              <w:t>Model</w:t>
            </w:r>
          </w:p>
        </w:tc>
        <w:tc>
          <w:tcPr>
            <w:tcW w:w="1728" w:type="dxa"/>
            <w:shd w:val="clear" w:color="auto" w:fill="D9E2F3"/>
          </w:tcPr>
          <w:p w14:paraId="4D3048CF" w14:textId="77777777" w:rsidR="00F245D1" w:rsidRDefault="00000000">
            <w:r>
              <w:rPr>
                <w:b/>
                <w:sz w:val="20"/>
              </w:rPr>
              <w:t>Denial Capture</w:t>
            </w:r>
          </w:p>
        </w:tc>
        <w:tc>
          <w:tcPr>
            <w:tcW w:w="1728" w:type="dxa"/>
            <w:shd w:val="clear" w:color="auto" w:fill="D9E2F3"/>
          </w:tcPr>
          <w:p w14:paraId="50661C04" w14:textId="77777777" w:rsidR="00F245D1" w:rsidRDefault="00000000">
            <w:r>
              <w:rPr>
                <w:b/>
                <w:sz w:val="20"/>
              </w:rPr>
              <w:t>ROC-AUC</w:t>
            </w:r>
          </w:p>
        </w:tc>
        <w:tc>
          <w:tcPr>
            <w:tcW w:w="1728" w:type="dxa"/>
            <w:shd w:val="clear" w:color="auto" w:fill="D9E2F3"/>
          </w:tcPr>
          <w:p w14:paraId="784DB817" w14:textId="77777777" w:rsidR="00F245D1" w:rsidRDefault="00000000">
            <w:r>
              <w:rPr>
                <w:b/>
                <w:sz w:val="20"/>
              </w:rPr>
              <w:t>Brier Score</w:t>
            </w:r>
          </w:p>
        </w:tc>
        <w:tc>
          <w:tcPr>
            <w:tcW w:w="1728" w:type="dxa"/>
            <w:shd w:val="clear" w:color="auto" w:fill="D9E2F3"/>
          </w:tcPr>
          <w:p w14:paraId="589C471C" w14:textId="77777777" w:rsidR="00F245D1" w:rsidRDefault="00000000">
            <w:r>
              <w:rPr>
                <w:b/>
                <w:sz w:val="20"/>
              </w:rPr>
              <w:t>Verdict</w:t>
            </w:r>
          </w:p>
        </w:tc>
      </w:tr>
      <w:tr w:rsidR="00F245D1" w14:paraId="068819D5" w14:textId="77777777">
        <w:tc>
          <w:tcPr>
            <w:tcW w:w="1728" w:type="dxa"/>
          </w:tcPr>
          <w:p w14:paraId="66A3830D" w14:textId="77777777" w:rsidR="00F245D1" w:rsidRDefault="00000000">
            <w:r>
              <w:rPr>
                <w:b/>
                <w:sz w:val="20"/>
              </w:rPr>
              <w:t>Calibrated Logistic Regression</w:t>
            </w:r>
          </w:p>
        </w:tc>
        <w:tc>
          <w:tcPr>
            <w:tcW w:w="1728" w:type="dxa"/>
          </w:tcPr>
          <w:p w14:paraId="29E768F5" w14:textId="77777777" w:rsidR="00F245D1" w:rsidRDefault="00000000">
            <w:r>
              <w:rPr>
                <w:sz w:val="20"/>
              </w:rPr>
              <w:t>49.5%</w:t>
            </w:r>
          </w:p>
        </w:tc>
        <w:tc>
          <w:tcPr>
            <w:tcW w:w="1728" w:type="dxa"/>
          </w:tcPr>
          <w:p w14:paraId="2DB253AD" w14:textId="77777777" w:rsidR="00F245D1" w:rsidRDefault="00000000">
            <w:r>
              <w:rPr>
                <w:sz w:val="20"/>
              </w:rPr>
              <w:t>0.710</w:t>
            </w:r>
          </w:p>
        </w:tc>
        <w:tc>
          <w:tcPr>
            <w:tcW w:w="1728" w:type="dxa"/>
          </w:tcPr>
          <w:p w14:paraId="2D40D111" w14:textId="77777777" w:rsidR="00F245D1" w:rsidRDefault="00000000">
            <w:r>
              <w:rPr>
                <w:sz w:val="20"/>
              </w:rPr>
              <w:t>0.137</w:t>
            </w:r>
          </w:p>
        </w:tc>
        <w:tc>
          <w:tcPr>
            <w:tcW w:w="1728" w:type="dxa"/>
          </w:tcPr>
          <w:p w14:paraId="2AA13C03" w14:textId="77777777" w:rsidR="00F245D1" w:rsidRDefault="00000000">
            <w:r>
              <w:rPr>
                <w:b/>
                <w:sz w:val="20"/>
              </w:rPr>
              <w:t>SELECTED</w:t>
            </w:r>
          </w:p>
        </w:tc>
      </w:tr>
      <w:tr w:rsidR="00F245D1" w14:paraId="43FDD97E" w14:textId="77777777">
        <w:tc>
          <w:tcPr>
            <w:tcW w:w="1728" w:type="dxa"/>
          </w:tcPr>
          <w:p w14:paraId="2E53B295" w14:textId="77777777" w:rsidR="00F245D1" w:rsidRDefault="00000000">
            <w:r>
              <w:rPr>
                <w:sz w:val="20"/>
              </w:rPr>
              <w:t>Logistic Regression (baseline)</w:t>
            </w:r>
          </w:p>
        </w:tc>
        <w:tc>
          <w:tcPr>
            <w:tcW w:w="1728" w:type="dxa"/>
          </w:tcPr>
          <w:p w14:paraId="5BF6CC6D" w14:textId="77777777" w:rsidR="00F245D1" w:rsidRDefault="00000000">
            <w:r>
              <w:rPr>
                <w:sz w:val="20"/>
              </w:rPr>
              <w:t>49.5%</w:t>
            </w:r>
          </w:p>
        </w:tc>
        <w:tc>
          <w:tcPr>
            <w:tcW w:w="1728" w:type="dxa"/>
          </w:tcPr>
          <w:p w14:paraId="260D6AAF" w14:textId="77777777" w:rsidR="00F245D1" w:rsidRDefault="00000000">
            <w:r>
              <w:rPr>
                <w:sz w:val="20"/>
              </w:rPr>
              <w:t>0.711</w:t>
            </w:r>
          </w:p>
        </w:tc>
        <w:tc>
          <w:tcPr>
            <w:tcW w:w="1728" w:type="dxa"/>
          </w:tcPr>
          <w:p w14:paraId="6BC2836E" w14:textId="77777777" w:rsidR="00F245D1" w:rsidRDefault="00000000">
            <w:r>
              <w:rPr>
                <w:sz w:val="20"/>
              </w:rPr>
              <w:t>0.209</w:t>
            </w:r>
          </w:p>
        </w:tc>
        <w:tc>
          <w:tcPr>
            <w:tcW w:w="1728" w:type="dxa"/>
          </w:tcPr>
          <w:p w14:paraId="2038F438" w14:textId="77777777" w:rsidR="00F245D1" w:rsidRDefault="00000000">
            <w:r>
              <w:rPr>
                <w:sz w:val="20"/>
              </w:rPr>
              <w:t>Runner-up</w:t>
            </w:r>
          </w:p>
        </w:tc>
      </w:tr>
      <w:tr w:rsidR="00F245D1" w14:paraId="4BB48D1F" w14:textId="77777777">
        <w:tc>
          <w:tcPr>
            <w:tcW w:w="1728" w:type="dxa"/>
          </w:tcPr>
          <w:p w14:paraId="7C8D85BF" w14:textId="77777777" w:rsidR="00F245D1" w:rsidRDefault="00000000">
            <w:r>
              <w:rPr>
                <w:sz w:val="20"/>
              </w:rPr>
              <w:t>Logistic Regression + interactions</w:t>
            </w:r>
          </w:p>
        </w:tc>
        <w:tc>
          <w:tcPr>
            <w:tcW w:w="1728" w:type="dxa"/>
          </w:tcPr>
          <w:p w14:paraId="5C50DB75" w14:textId="77777777" w:rsidR="00F245D1" w:rsidRDefault="00000000">
            <w:r>
              <w:rPr>
                <w:sz w:val="20"/>
              </w:rPr>
              <w:t>49.5%</w:t>
            </w:r>
          </w:p>
        </w:tc>
        <w:tc>
          <w:tcPr>
            <w:tcW w:w="1728" w:type="dxa"/>
          </w:tcPr>
          <w:p w14:paraId="25000713" w14:textId="77777777" w:rsidR="00F245D1" w:rsidRDefault="00000000">
            <w:r>
              <w:rPr>
                <w:sz w:val="20"/>
              </w:rPr>
              <w:t>0.707</w:t>
            </w:r>
          </w:p>
        </w:tc>
        <w:tc>
          <w:tcPr>
            <w:tcW w:w="1728" w:type="dxa"/>
          </w:tcPr>
          <w:p w14:paraId="0D1C2924" w14:textId="77777777" w:rsidR="00F245D1" w:rsidRDefault="00000000">
            <w:r>
              <w:rPr>
                <w:sz w:val="20"/>
              </w:rPr>
              <w:t>0.210</w:t>
            </w:r>
          </w:p>
        </w:tc>
        <w:tc>
          <w:tcPr>
            <w:tcW w:w="1728" w:type="dxa"/>
          </w:tcPr>
          <w:p w14:paraId="0C62F743" w14:textId="77777777" w:rsidR="00F245D1" w:rsidRDefault="00000000">
            <w:r>
              <w:rPr>
                <w:sz w:val="20"/>
              </w:rPr>
              <w:t>No gain</w:t>
            </w:r>
          </w:p>
        </w:tc>
      </w:tr>
      <w:tr w:rsidR="00F245D1" w14:paraId="3C6F7868" w14:textId="77777777">
        <w:tc>
          <w:tcPr>
            <w:tcW w:w="1728" w:type="dxa"/>
          </w:tcPr>
          <w:p w14:paraId="6896B88C" w14:textId="77777777" w:rsidR="00F245D1" w:rsidRDefault="00000000">
            <w:r>
              <w:rPr>
                <w:sz w:val="20"/>
              </w:rPr>
              <w:t>Random Forest</w:t>
            </w:r>
          </w:p>
        </w:tc>
        <w:tc>
          <w:tcPr>
            <w:tcW w:w="1728" w:type="dxa"/>
          </w:tcPr>
          <w:p w14:paraId="7932CE57" w14:textId="77777777" w:rsidR="00F245D1" w:rsidRDefault="00000000">
            <w:r>
              <w:rPr>
                <w:sz w:val="20"/>
              </w:rPr>
              <w:t>39.8%</w:t>
            </w:r>
          </w:p>
        </w:tc>
        <w:tc>
          <w:tcPr>
            <w:tcW w:w="1728" w:type="dxa"/>
          </w:tcPr>
          <w:p w14:paraId="2D22C6A2" w14:textId="77777777" w:rsidR="00F245D1" w:rsidRDefault="00000000">
            <w:r>
              <w:rPr>
                <w:sz w:val="20"/>
              </w:rPr>
              <w:t>0.653</w:t>
            </w:r>
          </w:p>
        </w:tc>
        <w:tc>
          <w:tcPr>
            <w:tcW w:w="1728" w:type="dxa"/>
          </w:tcPr>
          <w:p w14:paraId="2A2B0567" w14:textId="77777777" w:rsidR="00F245D1" w:rsidRDefault="00000000">
            <w:r>
              <w:rPr>
                <w:sz w:val="20"/>
              </w:rPr>
              <w:t>0.155</w:t>
            </w:r>
          </w:p>
        </w:tc>
        <w:tc>
          <w:tcPr>
            <w:tcW w:w="1728" w:type="dxa"/>
          </w:tcPr>
          <w:p w14:paraId="4F7AFE02" w14:textId="77777777" w:rsidR="00F245D1" w:rsidRDefault="00000000">
            <w:r>
              <w:rPr>
                <w:sz w:val="20"/>
              </w:rPr>
              <w:t>Underperforms</w:t>
            </w:r>
          </w:p>
        </w:tc>
      </w:tr>
      <w:tr w:rsidR="00F245D1" w14:paraId="619ADE97" w14:textId="77777777">
        <w:tc>
          <w:tcPr>
            <w:tcW w:w="1728" w:type="dxa"/>
          </w:tcPr>
          <w:p w14:paraId="1B6AF3EB" w14:textId="77777777" w:rsidR="00F245D1" w:rsidRDefault="00000000">
            <w:r>
              <w:rPr>
                <w:sz w:val="20"/>
              </w:rPr>
              <w:t>XGBoost</w:t>
            </w:r>
          </w:p>
        </w:tc>
        <w:tc>
          <w:tcPr>
            <w:tcW w:w="1728" w:type="dxa"/>
          </w:tcPr>
          <w:p w14:paraId="711C3272" w14:textId="77777777" w:rsidR="00F245D1" w:rsidRDefault="00000000">
            <w:r>
              <w:rPr>
                <w:sz w:val="20"/>
              </w:rPr>
              <w:t>35.9%</w:t>
            </w:r>
          </w:p>
        </w:tc>
        <w:tc>
          <w:tcPr>
            <w:tcW w:w="1728" w:type="dxa"/>
          </w:tcPr>
          <w:p w14:paraId="61C82278" w14:textId="77777777" w:rsidR="00F245D1" w:rsidRDefault="00000000">
            <w:r>
              <w:rPr>
                <w:sz w:val="20"/>
              </w:rPr>
              <w:t>0.615</w:t>
            </w:r>
          </w:p>
        </w:tc>
        <w:tc>
          <w:tcPr>
            <w:tcW w:w="1728" w:type="dxa"/>
          </w:tcPr>
          <w:p w14:paraId="55DF3487" w14:textId="77777777" w:rsidR="00F245D1" w:rsidRDefault="00000000">
            <w:r>
              <w:rPr>
                <w:sz w:val="20"/>
              </w:rPr>
              <w:t>0.180</w:t>
            </w:r>
          </w:p>
        </w:tc>
        <w:tc>
          <w:tcPr>
            <w:tcW w:w="1728" w:type="dxa"/>
          </w:tcPr>
          <w:p w14:paraId="6EEEFE33" w14:textId="77777777" w:rsidR="00F245D1" w:rsidRDefault="00000000">
            <w:r>
              <w:rPr>
                <w:sz w:val="20"/>
              </w:rPr>
              <w:t>Overfits</w:t>
            </w:r>
          </w:p>
        </w:tc>
      </w:tr>
    </w:tbl>
    <w:p w14:paraId="0D5A2EA2" w14:textId="77777777" w:rsidR="00F245D1" w:rsidRDefault="00F245D1"/>
    <w:p w14:paraId="57BBC648" w14:textId="77777777" w:rsidR="00F245D1" w:rsidRDefault="00000000">
      <w:pPr>
        <w:spacing w:after="160"/>
      </w:pPr>
      <w:r>
        <w:t>Why Logistic Regression won: the synthetic data was generated by simple additive rules -- each risk factor adds a fixed amount of risk. Tree-based models (Random Forest, XGBoost) overfit to spurious interactions at this sample size, while Logistic Regression correctly models the additive pattern. Calibration additionally improves probability reliability by 34%, making the High/Medium/Low tiers more trustworthy for operations staff.</w:t>
      </w:r>
    </w:p>
    <w:p w14:paraId="59B2924B" w14:textId="77777777" w:rsidR="00F245D1" w:rsidRDefault="00000000">
      <w:pPr>
        <w:pStyle w:val="Heading1"/>
      </w:pPr>
      <w:r>
        <w:t>5. GenAI Explanation Engine</w:t>
      </w:r>
    </w:p>
    <w:p w14:paraId="32A334CB" w14:textId="77777777" w:rsidR="00F245D1" w:rsidRDefault="00000000">
      <w:pPr>
        <w:spacing w:after="120"/>
      </w:pPr>
      <w:r>
        <w:t>For the top 10 highest-risk claims, a GenAI engine (Ollama Cloud, Gemma 4) produces plain-English explanations that tell the analyst exactly why the claim is flagged and what corrective action to take. Every output is validated for accuracy, includes a mandatory uncertainty disclaimer, and falls back to a deterministic template if the API is unavailable.</w:t>
      </w:r>
    </w:p>
    <w:p w14:paraId="3A2D18A7" w14:textId="77777777" w:rsidR="00F245D1" w:rsidRDefault="00000000">
      <w:pPr>
        <w:pStyle w:val="ListBullet"/>
        <w:spacing w:after="60"/>
      </w:pPr>
      <w:r>
        <w:t>Example for a high-risk claim: 'Missing required prior authorization. Confirm and obtain the required prior authorization before submission.'</w:t>
      </w:r>
    </w:p>
    <w:p w14:paraId="6F178E64" w14:textId="77777777" w:rsidR="00F245D1" w:rsidRDefault="00000000">
      <w:pPr>
        <w:pStyle w:val="ListBullet"/>
        <w:spacing w:after="60"/>
      </w:pPr>
      <w:r>
        <w:t>Example for a low-risk claim: 'No actionable pre-submission risk flags. Routine submission with standard verification is recommended.'</w:t>
      </w:r>
    </w:p>
    <w:p w14:paraId="75BE765B" w14:textId="77777777" w:rsidR="00F245D1" w:rsidRDefault="00000000">
      <w:pPr>
        <w:spacing w:after="160"/>
      </w:pPr>
      <w:r>
        <w:t>All LLM calls are audited for token usage, latency, and response quality. The latest production run processed 10 claims with 100% validation pass rate, 4,479 total tokens, and zero hallucination warnings.</w:t>
      </w:r>
    </w:p>
    <w:p w14:paraId="26CF6DC8" w14:textId="312DBBF9" w:rsidR="00F245D1" w:rsidRDefault="00000000">
      <w:pPr>
        <w:pStyle w:val="Heading1"/>
      </w:pPr>
      <w:r>
        <w:lastRenderedPageBreak/>
        <w:t xml:space="preserve">6. </w:t>
      </w:r>
      <w:r w:rsidR="009215B2">
        <w:t>Guardrails and Safety</w:t>
      </w:r>
    </w:p>
    <w:p w14:paraId="7EB35AB5" w14:textId="77777777" w:rsidR="00F245D1" w:rsidRDefault="00000000">
      <w:pPr>
        <w:pStyle w:val="ListNumber"/>
        <w:spacing w:after="60"/>
      </w:pPr>
      <w:r>
        <w:t>Leakage prevention: the target variable (is_denied) and post-outcome data are programmatically excluded from model inputs.</w:t>
      </w:r>
    </w:p>
    <w:p w14:paraId="41ABD5C7" w14:textId="77777777" w:rsidR="00F245D1" w:rsidRDefault="00000000">
      <w:pPr>
        <w:pStyle w:val="ListNumber"/>
        <w:spacing w:after="60"/>
      </w:pPr>
      <w:r>
        <w:t>Deterministic fallback: if the GenAI API is unavailable, the system generates clean, pre-approved explanations without any external dependency.</w:t>
      </w:r>
    </w:p>
    <w:p w14:paraId="78350F3A" w14:textId="77777777" w:rsidR="00F245D1" w:rsidRDefault="00000000">
      <w:pPr>
        <w:pStyle w:val="ListNumber"/>
        <w:spacing w:after="60"/>
      </w:pPr>
      <w:r>
        <w:t>HIPAA-safe audit logs: all LLM observability data (tokens, latency, quality flags) is stored in structured local JSON files -- no telemetry leaves the machine.</w:t>
      </w:r>
    </w:p>
    <w:p w14:paraId="26961F67" w14:textId="77777777" w:rsidR="00F245D1" w:rsidRDefault="00000000">
      <w:pPr>
        <w:pStyle w:val="ListNumber"/>
        <w:spacing w:after="60"/>
      </w:pPr>
      <w:r>
        <w:t>Reproducible experiments: every model version is fully versioned with parameters, metrics, and serialized artifacts, enabling rollback if needed.</w:t>
      </w:r>
    </w:p>
    <w:p w14:paraId="683F8BA8" w14:textId="77777777" w:rsidR="00F245D1" w:rsidRDefault="00F245D1"/>
    <w:p w14:paraId="68DD92AE" w14:textId="0FC3ECEC" w:rsidR="00F245D1" w:rsidRDefault="00000000">
      <w:pPr>
        <w:pStyle w:val="Heading1"/>
      </w:pPr>
      <w:r>
        <w:t xml:space="preserve">7. Limitations and </w:t>
      </w:r>
      <w:r w:rsidR="009215B2">
        <w:t>Observations</w:t>
      </w:r>
    </w:p>
    <w:p w14:paraId="71DDA3A0" w14:textId="77777777" w:rsidR="00F245D1" w:rsidRDefault="00000000">
      <w:pPr>
        <w:pStyle w:val="ListBullet"/>
        <w:spacing w:after="60"/>
      </w:pPr>
      <w:r>
        <w:t>Denial rates increased from ~20% in training to 26% in the test period, suggesting temporal drift that requires ongoing monitoring.</w:t>
      </w:r>
    </w:p>
    <w:p w14:paraId="5EDB2EDA" w14:textId="77777777" w:rsidR="00F245D1" w:rsidRDefault="00000000">
      <w:pPr>
        <w:pStyle w:val="ListBullet"/>
        <w:spacing w:after="60"/>
      </w:pPr>
      <w:r>
        <w:t>The model cannot capture complex payer-specific rules without payer-specific training data.</w:t>
      </w:r>
    </w:p>
    <w:p w14:paraId="2D485B25" w14:textId="77777777" w:rsidR="00F245D1" w:rsidRDefault="00F245D1"/>
    <w:p w14:paraId="4BDD64C5" w14:textId="42911540" w:rsidR="00F245D1" w:rsidRDefault="00F245D1">
      <w:pPr>
        <w:jc w:val="center"/>
      </w:pPr>
    </w:p>
    <w:sectPr w:rsidR="00F245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0381249">
    <w:abstractNumId w:val="8"/>
  </w:num>
  <w:num w:numId="2" w16cid:durableId="1670867253">
    <w:abstractNumId w:val="6"/>
  </w:num>
  <w:num w:numId="3" w16cid:durableId="1524897685">
    <w:abstractNumId w:val="5"/>
  </w:num>
  <w:num w:numId="4" w16cid:durableId="2023429963">
    <w:abstractNumId w:val="4"/>
  </w:num>
  <w:num w:numId="5" w16cid:durableId="437140745">
    <w:abstractNumId w:val="7"/>
  </w:num>
  <w:num w:numId="6" w16cid:durableId="2018657703">
    <w:abstractNumId w:val="3"/>
  </w:num>
  <w:num w:numId="7" w16cid:durableId="811869568">
    <w:abstractNumId w:val="2"/>
  </w:num>
  <w:num w:numId="8" w16cid:durableId="908461175">
    <w:abstractNumId w:val="1"/>
  </w:num>
  <w:num w:numId="9" w16cid:durableId="70336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4BC"/>
    <w:rsid w:val="0015074B"/>
    <w:rsid w:val="0029639D"/>
    <w:rsid w:val="00326F90"/>
    <w:rsid w:val="009215B2"/>
    <w:rsid w:val="00AA1D8D"/>
    <w:rsid w:val="00B47730"/>
    <w:rsid w:val="00B70838"/>
    <w:rsid w:val="00CB0664"/>
    <w:rsid w:val="00F245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B1019"/>
  <w14:defaultImageDpi w14:val="300"/>
  <w15:docId w15:val="{1EEB8F93-4A4D-47DB-804E-2BBEF0470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741</Words>
  <Characters>4224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BHARDWAJ</cp:lastModifiedBy>
  <cp:revision>3</cp:revision>
  <dcterms:created xsi:type="dcterms:W3CDTF">2013-12-23T23:15:00Z</dcterms:created>
  <dcterms:modified xsi:type="dcterms:W3CDTF">2026-05-27T11:54:00Z</dcterms:modified>
  <cp:category/>
</cp:coreProperties>
</file>