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Calibri" w:cs="Calibri" w:eastAsia="Calibri" w:hAnsi="Calibri"/>
          <w:color w:val="595959"/>
          <w:sz w:val="26"/>
          <w:szCs w:val="26"/>
        </w:rPr>
        <w:t xml:space="preserve">Appendix D</w:t>
      </w:r>
    </w:p>
    <w:p>
      <w:pPr>
        <w:spacing w:after="200" w:before="0"/>
        <w:jc w:val="center"/>
      </w:pPr>
      <w:r>
        <w:rPr>
          <w:rFonts w:ascii="Calibri" w:cs="Calibri" w:eastAsia="Calibri" w:hAnsi="Calibri"/>
          <w:b/>
          <w:bCs/>
          <w:color w:val="1F3864"/>
          <w:sz w:val="52"/>
          <w:szCs w:val="52"/>
        </w:rPr>
        <w:t xml:space="preserve">Incident Response Playbooks</w:t>
      </w:r>
    </w:p>
    <w:p>
      <w:pPr>
        <w:spacing w:after="400" w:before="0"/>
        <w:jc w:val="center"/>
      </w:pPr>
      <w:r>
        <w:rPr>
          <w:rFonts w:ascii="Calibri" w:cs="Calibri" w:eastAsia="Calibri" w:hAnsi="Calibri"/>
          <w:color w:val="2E74B5"/>
          <w:sz w:val="28"/>
          <w:szCs w:val="28"/>
        </w:rPr>
        <w:t xml:space="preserve">Hybrid Security Operations Centre for a mid-sized UK financial-services organisation</w:t>
      </w:r>
    </w:p>
    <w:p>
      <w:pPr>
        <w:spacing w:after="1200" w:before="0"/>
        <w:jc w:val="center"/>
      </w:pPr>
      <w:r>
        <w:rPr>
          <w:rFonts w:ascii="Calibri" w:cs="Calibri" w:eastAsia="Calibri" w:hAnsi="Calibri"/>
          <w:i/>
          <w:iCs/>
          <w:sz w:val="22"/>
          <w:szCs w:val="22"/>
        </w:rPr>
        <w:t xml:space="preserve">Aligned to NIST SP 800-61 Revision 3 and the NIST Cybersecurity Framework 2.0</w:t>
      </w:r>
    </w:p>
    <w:p>
      <w:pPr>
        <w:spacing w:after="120" w:before="0"/>
        <w:jc w:val="center"/>
      </w:pPr>
      <w:r>
        <w:rPr>
          <w:rFonts w:ascii="Calibri" w:cs="Calibri" w:eastAsia="Calibri" w:hAnsi="Calibri"/>
          <w:sz w:val="22"/>
          <w:szCs w:val="22"/>
        </w:rPr>
        <w:t xml:space="preserve">Version 1.1 · 7 October 2026</w:t>
      </w:r>
    </w:p>
    <w:p>
      <w:pPr>
        <w:spacing w:after="120" w:before="0"/>
        <w:jc w:val="center"/>
      </w:pPr>
      <w:r>
        <w:rPr>
          <w:rFonts w:ascii="Calibri" w:cs="Calibri" w:eastAsia="Calibri" w:hAnsi="Calibri"/>
          <w:sz w:val="22"/>
          <w:szCs w:val="22"/>
        </w:rPr>
        <w:t xml:space="preserve">MSc Cybersecurity · WB7103 / WB7104 · University of Chester</w:t>
      </w:r>
    </w:p>
    <w:p>
      <w:pPr>
        <w:pStyle w:val="Heading1"/>
        <w:pageBreakBefore/>
        <w:spacing w:after="160" w:before="12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276"/>
        <w:jc w:val="both"/>
      </w:pPr>
      <w:r>
        <w:rPr>
          <w:rFonts w:ascii="Calibri" w:cs="Calibri" w:eastAsia="Calibri" w:hAnsi="Calibri"/>
          <w:i/>
          <w:iCs/>
          <w:sz w:val="18"/>
          <w:szCs w:val="18"/>
        </w:rPr>
        <w:t xml:space="preserve">Right-click the contents list and choose Update Field after opening the document in Word.</w:t>
      </w:r>
    </w:p>
    <w:p>
      <w:pPr>
        <w:pStyle w:val="Heading1"/>
        <w:pageBreakBefore/>
        <w:spacing w:after="160" w:before="120"/>
      </w:pPr>
      <w:r>
        <w:rPr>
          <w:rFonts w:ascii="Calibri" w:cs="Calibri" w:eastAsia="Calibri" w:hAnsi="Calibri"/>
        </w:rPr>
        <w:t xml:space="preserve">D.1 Purpose and scope</w:t>
      </w:r>
    </w:p>
    <w:p>
      <w:pPr>
        <w:spacing w:after="140" w:line="276"/>
        <w:jc w:val="both"/>
      </w:pPr>
      <w:r>
        <w:rPr>
          <w:rFonts w:ascii="Calibri" w:cs="Calibri" w:eastAsia="Calibri" w:hAnsi="Calibri"/>
          <w:sz w:val="22"/>
          <w:szCs w:val="22"/>
        </w:rPr>
        <w:t xml:space="preserve">These playbooks set out how the client's security operations centre (SOC) should respond when one of its priority detections fires. Each playbook turns a detection rule into a consistent sequence of decisions and actions, so that the response does not depend on the knowledge or experience of whichever analyst is on shift. They complete Objective 4 of the project and support Recommendation R2 of the Client Impact Report.</w:t>
      </w:r>
    </w:p>
    <w:p>
      <w:pPr>
        <w:spacing w:after="140" w:line="276"/>
        <w:jc w:val="both"/>
      </w:pPr>
      <w:r>
        <w:rPr>
          <w:rFonts w:ascii="Calibri" w:cs="Calibri" w:eastAsia="Calibri" w:hAnsi="Calibri"/>
          <w:sz w:val="22"/>
          <w:szCs w:val="22"/>
        </w:rPr>
        <w:t xml:space="preserve">The five playbooks cover the detections that the project built and tested, rather than generic scenarios: brute-force authentication (PB-01), credential dumping from LSASS memory (PB-02), suspicious or encoded PowerShell (PB-03), clearing of the security event log (PB-04), and network intrusion or exploit attempts (PB-05). Each names the exact detection rule, data source, event identifiers and dashboard panel involved, and records how far the detection has been validated.</w:t>
      </w:r>
    </w:p>
    <w:p>
      <w:pPr>
        <w:spacing w:after="140" w:line="276"/>
        <w:jc w:val="both"/>
      </w:pPr>
      <w:r>
        <w:rPr>
          <w:rFonts w:ascii="Calibri" w:cs="Calibri" w:eastAsia="Calibri" w:hAnsi="Calibri"/>
          <w:sz w:val="22"/>
          <w:szCs w:val="22"/>
        </w:rPr>
        <w:t xml:space="preserve">The playbooks are written for the hybrid SOC described in the Client Impact Report: a Windows 11 endpoint monitored by Splunk Enterprise (Windows Security, Sysmon and Microsoft Defender logs), a Suricata network sensor, and an Azure honeypot monitored by Microsoft Sentinel. Steps that refer to the lab, such as restoring a virtual-machine snapshot, map directly to their production equivalents, such as reimaging a host from a known-good build.</w:t>
      </w:r>
    </w:p>
    <w:p>
      <w:pPr>
        <w:pStyle w:val="Heading1"/>
        <w:spacing w:after="160" w:before="120"/>
      </w:pPr>
      <w:r>
        <w:rPr>
          <w:rFonts w:ascii="Calibri" w:cs="Calibri" w:eastAsia="Calibri" w:hAnsi="Calibri"/>
        </w:rPr>
        <w:t xml:space="preserve">D.2 How the playbooks are structured</w:t>
      </w:r>
    </w:p>
    <w:p>
      <w:pPr>
        <w:spacing w:after="140" w:line="276"/>
        <w:jc w:val="both"/>
      </w:pPr>
      <w:r>
        <w:rPr>
          <w:rFonts w:ascii="Calibri" w:cs="Calibri" w:eastAsia="Calibri" w:hAnsi="Calibri"/>
          <w:sz w:val="22"/>
          <w:szCs w:val="22"/>
        </w:rPr>
        <w:t xml:space="preserve">NIST SP 800-61 Revision 3 recommends that incident response be integrated into an organisation's wider cybersecurity risk management and organised around the Functions of the NIST Cybersecurity Framework (CSF) 2.0, rather than treated as a stand-alone process (Nelson et al., 2025). Each playbook therefore follows the same stages, and each stage is mapped to the CSF 2.0 category it supports (Table D1).</w:t>
      </w:r>
    </w:p>
    <w:p>
      <w:pPr>
        <w:keepNext/>
        <w:spacing w:after="0" w:before="200"/>
      </w:pPr>
      <w:r>
        <w:rPr>
          <w:rFonts w:ascii="Calibri" w:cs="Calibri" w:eastAsia="Calibri" w:hAnsi="Calibri"/>
          <w:b/>
          <w:bCs/>
          <w:sz w:val="22"/>
          <w:szCs w:val="22"/>
        </w:rPr>
        <w:t xml:space="preserve">Table D1</w:t>
      </w:r>
    </w:p>
    <w:p>
      <w:pPr>
        <w:keepNext/>
        <w:spacing w:after="100"/>
      </w:pPr>
      <w:r>
        <w:rPr>
          <w:rFonts w:ascii="Calibri" w:cs="Calibri" w:eastAsia="Calibri" w:hAnsi="Calibri"/>
          <w:i/>
          <w:iCs/>
          <w:sz w:val="22"/>
          <w:szCs w:val="22"/>
        </w:rPr>
        <w:t xml:space="preserve">Playbook Stages Mapped to NIST CSF 2.0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cantSplit/>
          <w:tblHeader/>
        </w:trPr>
        <w:tc>
          <w:tcPr>
            <w:tcW w:type="dxa" w:w="23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Playbook stage</w:t>
            </w:r>
          </w:p>
        </w:tc>
        <w:tc>
          <w:tcPr>
            <w:tcW w:type="dxa" w:w="34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CSF 2.0 category</w:t>
            </w:r>
          </w:p>
        </w:tc>
        <w:tc>
          <w:tcPr>
            <w:tcW w:type="dxa" w:w="3326"/>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 of the stage</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1. Trigger and triage</w:t>
            </w:r>
          </w:p>
        </w:tc>
        <w:tc>
          <w:tcPr>
            <w:tcW w:type="dxa" w:w="34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DE.CM Continuous Monitoring; DE.AE Adverse Event Analysis</w:t>
            </w:r>
          </w:p>
        </w:tc>
        <w:tc>
          <w:tcPr>
            <w:tcW w:type="dxa" w:w="3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Confirm the alert is genuine and decide its severity.</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2. Analysis</w:t>
            </w:r>
          </w:p>
        </w:tc>
        <w:tc>
          <w:tcPr>
            <w:tcW w:type="dxa" w:w="34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RS.AN Incident Analysis</w:t>
            </w:r>
          </w:p>
        </w:tc>
        <w:tc>
          <w:tcPr>
            <w:tcW w:type="dxa" w:w="3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Establish what happened, its scope and its root cause.</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3. Containment</w:t>
            </w:r>
          </w:p>
        </w:tc>
        <w:tc>
          <w:tcPr>
            <w:tcW w:type="dxa" w:w="34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RS.MI Incident Mitigation</w:t>
            </w:r>
          </w:p>
        </w:tc>
        <w:tc>
          <w:tcPr>
            <w:tcW w:type="dxa" w:w="3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Stop the incident spreading or causing further harm.</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4. Eradication and recovery</w:t>
            </w:r>
          </w:p>
        </w:tc>
        <w:tc>
          <w:tcPr>
            <w:tcW w:type="dxa" w:w="34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RS.MI Incident Mitigation; RC.RP Incident Recovery Plan Execution</w:t>
            </w:r>
          </w:p>
        </w:tc>
        <w:tc>
          <w:tcPr>
            <w:tcW w:type="dxa" w:w="3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Remove the cause and restore normal, trusted operation.</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5. Communication and escalation</w:t>
            </w:r>
          </w:p>
        </w:tc>
        <w:tc>
          <w:tcPr>
            <w:tcW w:type="dxa" w:w="34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RS.MA Incident Management; RS.CO Incident Response Reporting and Communication; RC.CO Incident Recovery Communication</w:t>
            </w:r>
          </w:p>
        </w:tc>
        <w:tc>
          <w:tcPr>
            <w:tcW w:type="dxa" w:w="3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Inform the right people at the right time, including regulatory assessment.</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6. Evidence to preserve</w:t>
            </w:r>
          </w:p>
        </w:tc>
        <w:tc>
          <w:tcPr>
            <w:tcW w:type="dxa" w:w="34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RS.AN Incident Analysis</w:t>
            </w:r>
          </w:p>
        </w:tc>
        <w:tc>
          <w:tcPr>
            <w:tcW w:type="dxa" w:w="3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Keep the records needed for investigation, audit and any notification.</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7. Lessons learned</w:t>
            </w:r>
          </w:p>
        </w:tc>
        <w:tc>
          <w:tcPr>
            <w:tcW w:type="dxa" w:w="34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ID.IM Improvement</w:t>
            </w:r>
          </w:p>
        </w:tc>
        <w:tc>
          <w:tcPr>
            <w:tcW w:type="dxa" w:w="3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Feed what was learned back into detections, controls and the playbook itself.</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D1 shows the seven stages used in every playbook and the NIST Cybersecurity Framework 2.0 category that each stage supports. CSF = Cybersecurity Framework.</w:t>
      </w:r>
    </w:p>
    <w:p>
      <w:pPr>
        <w:pStyle w:val="Heading2"/>
        <w:spacing w:after="100" w:before="240"/>
      </w:pPr>
      <w:r>
        <w:rPr>
          <w:rFonts w:ascii="Calibri" w:cs="Calibri" w:eastAsia="Calibri" w:hAnsi="Calibri"/>
        </w:rPr>
        <w:t xml:space="preserve">Roles</w:t>
      </w:r>
    </w:p>
    <w:p>
      <w:pPr>
        <w:pStyle w:val="ListParagraph"/>
        <w:numPr>
          <w:ilvl w:val="0"/>
          <w:numId w:val="2"/>
        </w:numPr>
        <w:spacing w:after="70" w:line="264"/>
      </w:pPr>
      <w:r>
        <w:rPr>
          <w:rFonts w:ascii="Calibri" w:cs="Calibri" w:eastAsia="Calibri" w:hAnsi="Calibri"/>
          <w:b/>
          <w:bCs/>
          <w:sz w:val="22"/>
          <w:szCs w:val="22"/>
        </w:rPr>
        <w:t xml:space="preserve">Level 1 SOC analyst:</w:t>
      </w:r>
      <w:r>
        <w:rPr>
          <w:rFonts w:ascii="Calibri" w:cs="Calibri" w:eastAsia="Calibri" w:hAnsi="Calibri"/>
          <w:sz w:val="22"/>
          <w:szCs w:val="22"/>
        </w:rPr>
        <w:t xml:space="preserve"> monitors the dashboard, performs triage and opens the incident ticket.</w:t>
      </w:r>
    </w:p>
    <w:p>
      <w:pPr>
        <w:pStyle w:val="ListParagraph"/>
        <w:numPr>
          <w:ilvl w:val="0"/>
          <w:numId w:val="2"/>
        </w:numPr>
        <w:spacing w:after="70" w:line="264"/>
      </w:pPr>
      <w:r>
        <w:rPr>
          <w:rFonts w:ascii="Calibri" w:cs="Calibri" w:eastAsia="Calibri" w:hAnsi="Calibri"/>
          <w:b/>
          <w:bCs/>
          <w:sz w:val="22"/>
          <w:szCs w:val="22"/>
        </w:rPr>
        <w:t xml:space="preserve">Level 2 analyst / incident handler:</w:t>
      </w:r>
      <w:r>
        <w:rPr>
          <w:rFonts w:ascii="Calibri" w:cs="Calibri" w:eastAsia="Calibri" w:hAnsi="Calibri"/>
          <w:sz w:val="22"/>
          <w:szCs w:val="22"/>
        </w:rPr>
        <w:t xml:space="preserve"> leads analysis, containment and evidence collection.</w:t>
      </w:r>
    </w:p>
    <w:p>
      <w:pPr>
        <w:pStyle w:val="ListParagraph"/>
        <w:numPr>
          <w:ilvl w:val="0"/>
          <w:numId w:val="2"/>
        </w:numPr>
        <w:spacing w:after="70" w:line="264"/>
      </w:pPr>
      <w:r>
        <w:rPr>
          <w:rFonts w:ascii="Calibri" w:cs="Calibri" w:eastAsia="Calibri" w:hAnsi="Calibri"/>
          <w:b/>
          <w:bCs/>
          <w:sz w:val="22"/>
          <w:szCs w:val="22"/>
        </w:rPr>
        <w:t xml:space="preserve">Incident manager (escalating to the CISO):</w:t>
      </w:r>
      <w:r>
        <w:rPr>
          <w:rFonts w:ascii="Calibri" w:cs="Calibri" w:eastAsia="Calibri" w:hAnsi="Calibri"/>
          <w:sz w:val="22"/>
          <w:szCs w:val="22"/>
        </w:rPr>
        <w:t xml:space="preserve"> declares incidents, coordinates the response and owns communication.</w:t>
      </w:r>
    </w:p>
    <w:p>
      <w:pPr>
        <w:pStyle w:val="ListParagraph"/>
        <w:numPr>
          <w:ilvl w:val="0"/>
          <w:numId w:val="2"/>
        </w:numPr>
        <w:spacing w:after="70" w:line="264"/>
      </w:pPr>
      <w:r>
        <w:rPr>
          <w:rFonts w:ascii="Calibri" w:cs="Calibri" w:eastAsia="Calibri" w:hAnsi="Calibri"/>
          <w:b/>
          <w:bCs/>
          <w:sz w:val="22"/>
          <w:szCs w:val="22"/>
        </w:rPr>
        <w:t xml:space="preserve">IT operations:</w:t>
      </w:r>
      <w:r>
        <w:rPr>
          <w:rFonts w:ascii="Calibri" w:cs="Calibri" w:eastAsia="Calibri" w:hAnsi="Calibri"/>
          <w:sz w:val="22"/>
          <w:szCs w:val="22"/>
        </w:rPr>
        <w:t xml:space="preserve"> carries out technical remediation such as isolating hosts, resetting credentials and rebuilding systems.</w:t>
      </w:r>
    </w:p>
    <w:p>
      <w:pPr>
        <w:pStyle w:val="ListParagraph"/>
        <w:numPr>
          <w:ilvl w:val="0"/>
          <w:numId w:val="2"/>
        </w:numPr>
        <w:spacing w:after="70" w:line="264"/>
      </w:pPr>
      <w:r>
        <w:rPr>
          <w:rFonts w:ascii="Calibri" w:cs="Calibri" w:eastAsia="Calibri" w:hAnsi="Calibri"/>
          <w:b/>
          <w:bCs/>
          <w:sz w:val="22"/>
          <w:szCs w:val="22"/>
        </w:rPr>
        <w:t xml:space="preserve">Data protection officer and compliance:</w:t>
      </w:r>
      <w:r>
        <w:rPr>
          <w:rFonts w:ascii="Calibri" w:cs="Calibri" w:eastAsia="Calibri" w:hAnsi="Calibri"/>
          <w:sz w:val="22"/>
          <w:szCs w:val="22"/>
        </w:rPr>
        <w:t xml:space="preserve"> assess whether personal data is affected and whether regulatory notification is required.</w:t>
      </w:r>
    </w:p>
    <w:p>
      <w:pPr>
        <w:pStyle w:val="Heading2"/>
        <w:spacing w:after="100" w:before="240"/>
      </w:pPr>
      <w:r>
        <w:rPr>
          <w:rFonts w:ascii="Calibri" w:cs="Calibri" w:eastAsia="Calibri" w:hAnsi="Calibri"/>
        </w:rPr>
        <w:t xml:space="preserve">Severity and response targets</w:t>
      </w:r>
    </w:p>
    <w:p>
      <w:pPr>
        <w:spacing w:after="140" w:line="276"/>
        <w:jc w:val="both"/>
      </w:pPr>
      <w:r>
        <w:rPr>
          <w:rFonts w:ascii="Calibri" w:cs="Calibri" w:eastAsia="Calibri" w:hAnsi="Calibri"/>
          <w:sz w:val="22"/>
          <w:szCs w:val="22"/>
        </w:rPr>
        <w:t xml:space="preserve">Table D2 proposes response targets for the client. They should be confirmed against the client's risk appetite and staffing before adoption.</w:t>
      </w:r>
    </w:p>
    <w:p>
      <w:pPr>
        <w:keepNext/>
        <w:spacing w:after="0" w:before="200"/>
      </w:pPr>
      <w:r>
        <w:rPr>
          <w:rFonts w:ascii="Calibri" w:cs="Calibri" w:eastAsia="Calibri" w:hAnsi="Calibri"/>
          <w:b/>
          <w:bCs/>
          <w:sz w:val="22"/>
          <w:szCs w:val="22"/>
        </w:rPr>
        <w:t xml:space="preserve">Table D2</w:t>
      </w:r>
    </w:p>
    <w:p>
      <w:pPr>
        <w:keepNext/>
        <w:spacing w:after="100"/>
      </w:pPr>
      <w:r>
        <w:rPr>
          <w:rFonts w:ascii="Calibri" w:cs="Calibri" w:eastAsia="Calibri" w:hAnsi="Calibri"/>
          <w:i/>
          <w:iCs/>
          <w:sz w:val="22"/>
          <w:szCs w:val="22"/>
        </w:rPr>
        <w:t xml:space="preserve">Proposed Severity Levels and Response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1700"/>
        <w:gridCol w:w="2326"/>
      </w:tblGrid>
      <w:tr>
        <w:trPr>
          <w:cantSplit/>
          <w:tblHeader/>
        </w:trPr>
        <w:tc>
          <w:tcPr>
            <w:tcW w:type="dxa" w:w="13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Severity</w:t>
            </w:r>
          </w:p>
        </w:tc>
        <w:tc>
          <w:tcPr>
            <w:tcW w:type="dxa" w:w="37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c>
          <w:tcPr>
            <w:tcW w:type="dxa" w:w="17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Acknowledge within</w:t>
            </w:r>
          </w:p>
        </w:tc>
        <w:tc>
          <w:tcPr>
            <w:tcW w:type="dxa" w:w="2326"/>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Escalate to</w:t>
            </w:r>
          </w:p>
        </w:tc>
      </w:tr>
      <w:tr>
        <w:trPr>
          <w:cantSplit/>
          <w:tblHeader w:val="false"/>
        </w:trPr>
        <w:tc>
          <w:tcPr>
            <w:tcW w:type="dxa" w:w="1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Critical</w:t>
            </w:r>
          </w:p>
        </w:tc>
        <w:tc>
          <w:tcPr>
            <w:tcW w:type="dxa" w:w="3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Likely compromise of a host or privileged credentials, or loss of monitoring</w:t>
            </w:r>
          </w:p>
        </w:tc>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15 minutes</w:t>
            </w:r>
          </w:p>
        </w:tc>
        <w:tc>
          <w:tcPr>
            <w:tcW w:type="dxa" w:w="2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Incident manager immediately; CISO</w:t>
            </w:r>
          </w:p>
        </w:tc>
      </w:tr>
      <w:tr>
        <w:trPr>
          <w:cantSplit/>
          <w:tblHeader w:val="false"/>
        </w:trPr>
        <w:tc>
          <w:tcPr>
            <w:tcW w:type="dxa" w:w="1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High</w:t>
            </w:r>
          </w:p>
        </w:tc>
        <w:tc>
          <w:tcPr>
            <w:tcW w:type="dxa" w:w="3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Malicious activity that has not yet been confirmed as successful</w:t>
            </w:r>
          </w:p>
        </w:tc>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30 minutes</w:t>
            </w:r>
          </w:p>
        </w:tc>
        <w:tc>
          <w:tcPr>
            <w:tcW w:type="dxa" w:w="2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Level 2 analyst; incident manager if confirmed</w:t>
            </w:r>
          </w:p>
        </w:tc>
      </w:tr>
      <w:tr>
        <w:trPr>
          <w:cantSplit/>
          <w:tblHeader w:val="false"/>
        </w:trPr>
        <w:tc>
          <w:tcPr>
            <w:tcW w:type="dxa" w:w="1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Medium</w:t>
            </w:r>
          </w:p>
        </w:tc>
        <w:tc>
          <w:tcPr>
            <w:tcW w:type="dxa" w:w="3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Suspicious activity needing investigation</w:t>
            </w:r>
          </w:p>
        </w:tc>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4 hours</w:t>
            </w:r>
          </w:p>
        </w:tc>
        <w:tc>
          <w:tcPr>
            <w:tcW w:type="dxa" w:w="2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Level 2 analyst if not resolved at Level 1</w:t>
            </w:r>
          </w:p>
        </w:tc>
      </w:tr>
      <w:tr>
        <w:trPr>
          <w:cantSplit/>
          <w:tblHeader w:val="false"/>
        </w:trPr>
        <w:tc>
          <w:tcPr>
            <w:tcW w:type="dxa" w:w="13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Low</w:t>
            </w:r>
          </w:p>
        </w:tc>
        <w:tc>
          <w:tcPr>
            <w:tcW w:type="dxa" w:w="3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Informational or confirmed benign activity</w:t>
            </w:r>
          </w:p>
        </w:tc>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Next business day</w:t>
            </w:r>
          </w:p>
        </w:tc>
        <w:tc>
          <w:tcPr>
            <w:tcW w:type="dxa" w:w="23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Not escalated; used for tuning</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D2 proposes how quickly each severity level should be acknowledged and to whom it should be escalated. The targets are a starting point for the client and are not drawn from a standard. CISO = chief information security officer.</w:t>
      </w:r>
    </w:p>
    <w:p>
      <w:pPr>
        <w:pStyle w:val="Heading2"/>
        <w:spacing w:after="100" w:before="240"/>
      </w:pPr>
      <w:r>
        <w:rPr>
          <w:rFonts w:ascii="Calibri" w:cs="Calibri" w:eastAsia="Calibri" w:hAnsi="Calibri"/>
        </w:rPr>
        <w:t xml:space="preserve">General evidence-handling rules</w:t>
      </w:r>
    </w:p>
    <w:p>
      <w:pPr>
        <w:pStyle w:val="ListParagraph"/>
        <w:numPr>
          <w:ilvl w:val="0"/>
          <w:numId w:val="2"/>
        </w:numPr>
        <w:spacing w:after="70" w:line="264"/>
      </w:pPr>
      <w:r>
        <w:rPr>
          <w:rFonts w:ascii="Calibri" w:cs="Calibri" w:eastAsia="Calibri" w:hAnsi="Calibri"/>
          <w:sz w:val="22"/>
          <w:szCs w:val="22"/>
        </w:rPr>
        <w:t xml:space="preserve">Record every action with its time in UTC, the person who performed it and the reason, in the incident ticket.</w:t>
      </w:r>
    </w:p>
    <w:p>
      <w:pPr>
        <w:pStyle w:val="ListParagraph"/>
        <w:numPr>
          <w:ilvl w:val="0"/>
          <w:numId w:val="2"/>
        </w:numPr>
        <w:spacing w:after="70" w:line="264"/>
      </w:pPr>
      <w:r>
        <w:rPr>
          <w:rFonts w:ascii="Calibri" w:cs="Calibri" w:eastAsia="Calibri" w:hAnsi="Calibri"/>
          <w:sz w:val="22"/>
          <w:szCs w:val="22"/>
        </w:rPr>
        <w:t xml:space="preserve">Export the raw events from the SIEM before any tuning, suppression or deletion, and keep the original search used.</w:t>
      </w:r>
    </w:p>
    <w:p>
      <w:pPr>
        <w:pStyle w:val="ListParagraph"/>
        <w:numPr>
          <w:ilvl w:val="0"/>
          <w:numId w:val="2"/>
        </w:numPr>
        <w:spacing w:after="70" w:line="264"/>
      </w:pPr>
      <w:r>
        <w:rPr>
          <w:rFonts w:ascii="Calibri" w:cs="Calibri" w:eastAsia="Calibri" w:hAnsi="Calibri"/>
          <w:sz w:val="22"/>
          <w:szCs w:val="22"/>
        </w:rPr>
        <w:t xml:space="preserve">Where a host may be compromised, isolate it from the network but do not power it off until volatile evidence has been considered, because shutting down destroys memory contents.</w:t>
      </w:r>
    </w:p>
    <w:p>
      <w:pPr>
        <w:pStyle w:val="ListParagraph"/>
        <w:numPr>
          <w:ilvl w:val="0"/>
          <w:numId w:val="2"/>
        </w:numPr>
        <w:spacing w:after="70" w:line="264"/>
      </w:pPr>
      <w:r>
        <w:rPr>
          <w:rFonts w:ascii="Calibri" w:cs="Calibri" w:eastAsia="Calibri" w:hAnsi="Calibri"/>
          <w:sz w:val="22"/>
          <w:szCs w:val="22"/>
        </w:rPr>
        <w:t xml:space="preserve">Store exported evidence in a restricted location and record a hash (for example SHA-256) of each file so its integrity can be shown later.</w:t>
      </w:r>
    </w:p>
    <w:p>
      <w:pPr>
        <w:pStyle w:val="Heading1"/>
        <w:pageBreakBefore/>
        <w:spacing w:after="160" w:before="120"/>
      </w:pPr>
      <w:r>
        <w:rPr>
          <w:rFonts w:ascii="Calibri" w:cs="Calibri" w:eastAsia="Calibri" w:hAnsi="Calibri"/>
        </w:rPr>
        <w:t xml:space="preserve">D.3 PB-01 Brute-force authentication</w:t>
      </w:r>
    </w:p>
    <w:p>
      <w:pPr>
        <w:spacing w:after="140" w:line="276"/>
        <w:jc w:val="both"/>
      </w:pPr>
      <w:r>
        <w:rPr>
          <w:rFonts w:ascii="Calibri" w:cs="Calibri" w:eastAsia="Calibri" w:hAnsi="Calibri"/>
          <w:sz w:val="22"/>
          <w:szCs w:val="22"/>
        </w:rPr>
        <w:t xml:space="preserve">Use this playbook when an account receives repeated failed logons from one source, or when one source attempts to log on to many accounts. The cloud honeypot showed that internet-exposed Remote Desktop is attacked within hours, so this is the playbook most likely to be used.</w:t>
      </w:r>
    </w:p>
    <w:p>
      <w:pPr>
        <w:keepNext/>
        <w:spacing w:after="0" w:before="200"/>
      </w:pPr>
      <w:r>
        <w:rPr>
          <w:rFonts w:ascii="Calibri" w:cs="Calibri" w:eastAsia="Calibri" w:hAnsi="Calibri"/>
          <w:b/>
          <w:bCs/>
          <w:sz w:val="22"/>
          <w:szCs w:val="22"/>
        </w:rPr>
        <w:t xml:space="preserve">Table D3</w:t>
      </w:r>
    </w:p>
    <w:p>
      <w:pPr>
        <w:keepNext/>
        <w:spacing w:after="100"/>
      </w:pPr>
      <w:r>
        <w:rPr>
          <w:rFonts w:ascii="Calibri" w:cs="Calibri" w:eastAsia="Calibri" w:hAnsi="Calibri"/>
          <w:i/>
          <w:iCs/>
          <w:sz w:val="22"/>
          <w:szCs w:val="22"/>
        </w:rPr>
        <w:t xml:space="preserve">PB-01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Rule 2, Brute-force authentication (Splunk, Windows Event 4625); for cloud assets, the Sentinel rule "RDP Brute Force from Single IP (T1110)" (10 or more failures from one IP address in one hour)</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MITRE ATT&amp;CK</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T1110 Brute Force (including T1110.001 Password Guessing and T1110.003 Password Spraying)</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Default severity</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High; raise to Critical if any successful logon (Event 4624) follows from the same source</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Data sources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Windows Security Events 4625, 4624 and 4740; Sentinel SecurityEvent table</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Dashboard panels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Failed Logons tile; Failed Logons Over Time</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Validation status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Detection logic exercised by real attacks on the cloud honeypot (at least 2,012 failed logons from at least five IP addresses in the first 25 hours; Section 3.7). The on-premises rule has not yet been tested with Atomic Red Team.</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D3 summarises the trigger, technique, severity, data sources and validation status for PB-01. IP = Internet Protocol; RDP = Remote Desktop Protocol.</w:t>
      </w:r>
    </w:p>
    <w:p>
      <w:pPr>
        <w:pStyle w:val="Heading3"/>
        <w:spacing w:after="80" w:before="200"/>
      </w:pPr>
      <w:r>
        <w:rPr>
          <w:rFonts w:ascii="Calibri" w:cs="Calibri" w:eastAsia="Calibri" w:hAnsi="Calibri"/>
        </w:rPr>
        <w:t xml:space="preserve">1. Trigger and triage</w:t>
      </w:r>
    </w:p>
    <w:p>
      <w:pPr>
        <w:pStyle w:val="ListParagraph"/>
        <w:numPr>
          <w:ilvl w:val="0"/>
          <w:numId w:val="2"/>
        </w:numPr>
        <w:spacing w:after="70" w:line="264"/>
      </w:pPr>
      <w:r>
        <w:rPr>
          <w:rFonts w:ascii="Calibri" w:cs="Calibri" w:eastAsia="Calibri" w:hAnsi="Calibri"/>
          <w:sz w:val="22"/>
          <w:szCs w:val="22"/>
        </w:rPr>
        <w:t xml:space="preserve">Confirm the source IP address, the targeted account names, the number of failures and the time window from the alert.</w:t>
      </w:r>
    </w:p>
    <w:p>
      <w:pPr>
        <w:pStyle w:val="ListParagraph"/>
        <w:numPr>
          <w:ilvl w:val="0"/>
          <w:numId w:val="2"/>
        </w:numPr>
        <w:spacing w:after="70" w:line="264"/>
      </w:pPr>
      <w:r>
        <w:rPr>
          <w:rFonts w:ascii="Calibri" w:cs="Calibri" w:eastAsia="Calibri" w:hAnsi="Calibri"/>
          <w:sz w:val="22"/>
          <w:szCs w:val="22"/>
        </w:rPr>
        <w:t xml:space="preserve">Run the search below to see every source with ten or more failures, the accounts it tried and when it started and stopped.</w:t>
      </w:r>
    </w:p>
    <w:p>
      <w:pPr>
        <w:shd w:fill="F2F2F2" w:color="auto" w:val="clear"/>
        <w:spacing w:after="0"/>
      </w:pPr>
      <w:r>
        <w:rPr>
          <w:rFonts w:ascii="Consolas" w:cs="Consolas" w:eastAsia="Consolas" w:hAnsi="Consolas"/>
          <w:sz w:val="17"/>
          <w:szCs w:val="17"/>
        </w:rPr>
        <w:t xml:space="preserve">index=windows_security EventCode=4625</w:t>
      </w:r>
    </w:p>
    <w:p>
      <w:pPr>
        <w:shd w:fill="F2F2F2" w:color="auto" w:val="clear"/>
        <w:spacing w:after="0"/>
      </w:pPr>
      <w:r>
        <w:rPr>
          <w:rFonts w:ascii="Consolas" w:cs="Consolas" w:eastAsia="Consolas" w:hAnsi="Consolas"/>
          <w:sz w:val="17"/>
          <w:szCs w:val="17"/>
        </w:rPr>
        <w:t xml:space="preserve">| stats count AS failures values(TargetUserName) AS accounts</w:t>
      </w:r>
    </w:p>
    <w:p>
      <w:pPr>
        <w:shd w:fill="F2F2F2" w:color="auto" w:val="clear"/>
        <w:spacing w:after="0"/>
      </w:pPr>
      <w:r>
        <w:rPr>
          <w:rFonts w:ascii="Consolas" w:cs="Consolas" w:eastAsia="Consolas" w:hAnsi="Consolas"/>
          <w:sz w:val="17"/>
          <w:szCs w:val="17"/>
        </w:rPr>
        <w:t xml:space="preserve">        min(_time) AS first max(_time) AS last BY IpAddress, Computer</w:t>
      </w:r>
    </w:p>
    <w:p>
      <w:pPr>
        <w:shd w:fill="F2F2F2" w:color="auto" w:val="clear"/>
        <w:spacing w:after="0"/>
      </w:pPr>
      <w:r>
        <w:rPr>
          <w:rFonts w:ascii="Consolas" w:cs="Consolas" w:eastAsia="Consolas" w:hAnsi="Consolas"/>
          <w:sz w:val="17"/>
          <w:szCs w:val="17"/>
        </w:rPr>
        <w:t xml:space="preserve">| where failures&gt;=10 | convert ctime(first) ctime(last)</w:t>
      </w:r>
    </w:p>
    <w:p>
      <w:pPr>
        <w:spacing w:after="60"/>
      </w:pPr>
    </w:p>
    <w:p>
      <w:pPr>
        <w:pStyle w:val="ListParagraph"/>
        <w:numPr>
          <w:ilvl w:val="0"/>
          <w:numId w:val="2"/>
        </w:numPr>
        <w:spacing w:after="70" w:line="264"/>
      </w:pPr>
      <w:r>
        <w:rPr>
          <w:rFonts w:ascii="Calibri" w:cs="Calibri" w:eastAsia="Calibri" w:hAnsi="Calibri"/>
          <w:b/>
          <w:bCs/>
          <w:sz w:val="22"/>
          <w:szCs w:val="22"/>
        </w:rPr>
        <w:t xml:space="preserve">Key question: did any logon succeed?</w:t>
      </w:r>
      <w:r>
        <w:rPr>
          <w:rFonts w:ascii="Calibri" w:cs="Calibri" w:eastAsia="Calibri" w:hAnsi="Calibri"/>
          <w:sz w:val="22"/>
          <w:szCs w:val="22"/>
        </w:rPr>
        <w:t xml:space="preserve"> Search for Event 4624 from the same source. If one exists after the failures, treat the account as compromised, raise the severity to Critical and escalate immediately.</w:t>
      </w:r>
    </w:p>
    <w:p>
      <w:pPr>
        <w:shd w:fill="F2F2F2" w:color="auto" w:val="clear"/>
        <w:spacing w:after="0"/>
      </w:pPr>
      <w:r>
        <w:rPr>
          <w:rFonts w:ascii="Consolas" w:cs="Consolas" w:eastAsia="Consolas" w:hAnsi="Consolas"/>
          <w:sz w:val="17"/>
          <w:szCs w:val="17"/>
        </w:rPr>
        <w:t xml:space="preserve">index=windows_security EventCode=4624 IpAddress="&lt;source IP&gt;"</w:t>
      </w:r>
    </w:p>
    <w:p>
      <w:pPr>
        <w:shd w:fill="F2F2F2" w:color="auto" w:val="clear"/>
        <w:spacing w:after="0"/>
      </w:pPr>
      <w:r>
        <w:rPr>
          <w:rFonts w:ascii="Consolas" w:cs="Consolas" w:eastAsia="Consolas" w:hAnsi="Consolas"/>
          <w:sz w:val="17"/>
          <w:szCs w:val="17"/>
        </w:rPr>
        <w:t xml:space="preserve">| table _time Computer TargetUserName LogonType IpAddress</w:t>
      </w:r>
    </w:p>
    <w:p>
      <w:pPr>
        <w:spacing w:after="60"/>
      </w:pPr>
    </w:p>
    <w:p>
      <w:pPr>
        <w:pStyle w:val="Heading3"/>
        <w:spacing w:after="80" w:before="200"/>
      </w:pPr>
      <w:r>
        <w:rPr>
          <w:rFonts w:ascii="Calibri" w:cs="Calibri" w:eastAsia="Calibri" w:hAnsi="Calibri"/>
        </w:rPr>
        <w:t xml:space="preserve">2. Analysis</w:t>
      </w:r>
    </w:p>
    <w:p>
      <w:pPr>
        <w:pStyle w:val="ListParagraph"/>
        <w:numPr>
          <w:ilvl w:val="0"/>
          <w:numId w:val="2"/>
        </w:numPr>
        <w:spacing w:after="70" w:line="264"/>
      </w:pPr>
      <w:r>
        <w:rPr>
          <w:rFonts w:ascii="Calibri" w:cs="Calibri" w:eastAsia="Calibri" w:hAnsi="Calibri"/>
          <w:sz w:val="22"/>
          <w:szCs w:val="22"/>
        </w:rPr>
        <w:t xml:space="preserve">Decide the pattern: many attempts against one account suggests password guessing; few attempts against many accounts suggests password spraying.</w:t>
      </w:r>
    </w:p>
    <w:p>
      <w:pPr>
        <w:pStyle w:val="ListParagraph"/>
        <w:numPr>
          <w:ilvl w:val="0"/>
          <w:numId w:val="2"/>
        </w:numPr>
        <w:spacing w:after="70" w:line="264"/>
      </w:pPr>
      <w:r>
        <w:rPr>
          <w:rFonts w:ascii="Calibri" w:cs="Calibri" w:eastAsia="Calibri" w:hAnsi="Calibri"/>
          <w:sz w:val="22"/>
          <w:szCs w:val="22"/>
        </w:rPr>
        <w:t xml:space="preserve">Check whether the targeted names exist. On the honeypot, every attempt used generic names such as "Administrator" and "admin", which indicates untargeted, automated attack; attempts against real staff account names indicate reconnaissance and a more targeted attacker.</w:t>
      </w:r>
    </w:p>
    <w:p>
      <w:pPr>
        <w:pStyle w:val="ListParagraph"/>
        <w:numPr>
          <w:ilvl w:val="0"/>
          <w:numId w:val="2"/>
        </w:numPr>
        <w:spacing w:after="70" w:line="264"/>
      </w:pPr>
      <w:r>
        <w:rPr>
          <w:rFonts w:ascii="Calibri" w:cs="Calibri" w:eastAsia="Calibri" w:hAnsi="Calibri"/>
          <w:sz w:val="22"/>
          <w:szCs w:val="22"/>
        </w:rPr>
        <w:t xml:space="preserve">Check for account lockouts (Event 4740) that may be disrupting legitimate users.</w:t>
      </w:r>
    </w:p>
    <w:p>
      <w:pPr>
        <w:pStyle w:val="ListParagraph"/>
        <w:numPr>
          <w:ilvl w:val="0"/>
          <w:numId w:val="2"/>
        </w:numPr>
        <w:spacing w:after="70" w:line="264"/>
      </w:pPr>
      <w:r>
        <w:rPr>
          <w:rFonts w:ascii="Calibri" w:cs="Calibri" w:eastAsia="Calibri" w:hAnsi="Calibri"/>
          <w:sz w:val="22"/>
          <w:szCs w:val="22"/>
        </w:rPr>
        <w:t xml:space="preserve">Determine whether the source is internal or external. An internal source suggests that another host is already compromised and should be investigated under its own incident.</w:t>
      </w:r>
    </w:p>
    <w:p>
      <w:pPr>
        <w:pStyle w:val="Heading3"/>
        <w:spacing w:after="80" w:before="200"/>
      </w:pPr>
      <w:r>
        <w:rPr>
          <w:rFonts w:ascii="Calibri" w:cs="Calibri" w:eastAsia="Calibri" w:hAnsi="Calibri"/>
        </w:rPr>
        <w:t xml:space="preserve">3. Containment</w:t>
      </w:r>
    </w:p>
    <w:p>
      <w:pPr>
        <w:pStyle w:val="ListParagraph"/>
        <w:numPr>
          <w:ilvl w:val="0"/>
          <w:numId w:val="2"/>
        </w:numPr>
        <w:spacing w:after="70" w:line="264"/>
      </w:pPr>
      <w:r>
        <w:rPr>
          <w:rFonts w:ascii="Calibri" w:cs="Calibri" w:eastAsia="Calibri" w:hAnsi="Calibri"/>
          <w:sz w:val="22"/>
          <w:szCs w:val="22"/>
        </w:rPr>
        <w:t xml:space="preserve">Block the source address at the perimeter firewall or, for Azure assets, add a deny rule to the network security group.</w:t>
      </w:r>
    </w:p>
    <w:p>
      <w:pPr>
        <w:pStyle w:val="ListParagraph"/>
        <w:numPr>
          <w:ilvl w:val="0"/>
          <w:numId w:val="2"/>
        </w:numPr>
        <w:spacing w:after="70" w:line="264"/>
      </w:pPr>
      <w:r>
        <w:rPr>
          <w:rFonts w:ascii="Calibri" w:cs="Calibri" w:eastAsia="Calibri" w:hAnsi="Calibri"/>
          <w:sz w:val="22"/>
          <w:szCs w:val="22"/>
        </w:rPr>
        <w:t xml:space="preserve">If a logon succeeded: disable the account, reset its password, end its active sessions and isolate the host it accessed.</w:t>
      </w:r>
    </w:p>
    <w:p>
      <w:pPr>
        <w:pStyle w:val="ListParagraph"/>
        <w:numPr>
          <w:ilvl w:val="0"/>
          <w:numId w:val="2"/>
        </w:numPr>
        <w:spacing w:after="70" w:line="264"/>
      </w:pPr>
      <w:r>
        <w:rPr>
          <w:rFonts w:ascii="Calibri" w:cs="Calibri" w:eastAsia="Calibri" w:hAnsi="Calibri"/>
          <w:sz w:val="22"/>
          <w:szCs w:val="22"/>
        </w:rPr>
        <w:t xml:space="preserve">If Remote Desktop is exposed directly to the internet, remove that exposure and require access through a VPN or brokered remote-access service (Recommendation R7).</w:t>
      </w:r>
    </w:p>
    <w:p>
      <w:pPr>
        <w:pStyle w:val="Heading3"/>
        <w:spacing w:after="80" w:before="200"/>
      </w:pPr>
      <w:r>
        <w:rPr>
          <w:rFonts w:ascii="Calibri" w:cs="Calibri" w:eastAsia="Calibri" w:hAnsi="Calibri"/>
        </w:rPr>
        <w:t xml:space="preserve">4. Eradication and recovery</w:t>
      </w:r>
    </w:p>
    <w:p>
      <w:pPr>
        <w:pStyle w:val="ListParagraph"/>
        <w:numPr>
          <w:ilvl w:val="0"/>
          <w:numId w:val="2"/>
        </w:numPr>
        <w:spacing w:after="70" w:line="264"/>
      </w:pPr>
      <w:r>
        <w:rPr>
          <w:rFonts w:ascii="Calibri" w:cs="Calibri" w:eastAsia="Calibri" w:hAnsi="Calibri"/>
          <w:sz w:val="22"/>
          <w:szCs w:val="22"/>
        </w:rPr>
        <w:t xml:space="preserve">After any successful logon, check the accessed host for persistence created afterwards: new accounts (Rule 6, Events 4720/4732), new services (Rule 3, Event 7045) and scheduled tasks (Rule 10, Event 4698).</w:t>
      </w:r>
    </w:p>
    <w:p>
      <w:pPr>
        <w:pStyle w:val="ListParagraph"/>
        <w:numPr>
          <w:ilvl w:val="0"/>
          <w:numId w:val="2"/>
        </w:numPr>
        <w:spacing w:after="70" w:line="264"/>
      </w:pPr>
      <w:r>
        <w:rPr>
          <w:rFonts w:ascii="Calibri" w:cs="Calibri" w:eastAsia="Calibri" w:hAnsi="Calibri"/>
          <w:sz w:val="22"/>
          <w:szCs w:val="22"/>
        </w:rPr>
        <w:t xml:space="preserve">Re-enable the account only after a password reset and confirmation that multi-factor authentication is enforced.</w:t>
      </w:r>
    </w:p>
    <w:p>
      <w:pPr>
        <w:pStyle w:val="ListParagraph"/>
        <w:numPr>
          <w:ilvl w:val="0"/>
          <w:numId w:val="2"/>
        </w:numPr>
        <w:spacing w:after="70" w:line="264"/>
      </w:pPr>
      <w:r>
        <w:rPr>
          <w:rFonts w:ascii="Calibri" w:cs="Calibri" w:eastAsia="Calibri" w:hAnsi="Calibri"/>
          <w:sz w:val="22"/>
          <w:szCs w:val="22"/>
        </w:rPr>
        <w:t xml:space="preserve">Confirm account-lockout thresholds are in place and that the alert has stopped firing.</w:t>
      </w:r>
    </w:p>
    <w:p>
      <w:pPr>
        <w:pStyle w:val="Heading3"/>
        <w:spacing w:after="80" w:before="200"/>
      </w:pPr>
      <w:r>
        <w:rPr>
          <w:rFonts w:ascii="Calibri" w:cs="Calibri" w:eastAsia="Calibri" w:hAnsi="Calibri"/>
        </w:rPr>
        <w:t xml:space="preserve">5. Communication and escalation</w:t>
      </w:r>
    </w:p>
    <w:p>
      <w:pPr>
        <w:pStyle w:val="ListParagraph"/>
        <w:numPr>
          <w:ilvl w:val="0"/>
          <w:numId w:val="2"/>
        </w:numPr>
        <w:spacing w:after="70" w:line="264"/>
      </w:pPr>
      <w:r>
        <w:rPr>
          <w:rFonts w:ascii="Calibri" w:cs="Calibri" w:eastAsia="Calibri" w:hAnsi="Calibri"/>
          <w:sz w:val="22"/>
          <w:szCs w:val="22"/>
        </w:rPr>
        <w:t xml:space="preserve">High: inform the incident manager within the target time. Critical (successful logon): escalate to the incident manager and CISO immediately.</w:t>
      </w:r>
    </w:p>
    <w:p>
      <w:pPr>
        <w:pStyle w:val="ListParagraph"/>
        <w:numPr>
          <w:ilvl w:val="0"/>
          <w:numId w:val="2"/>
        </w:numPr>
        <w:spacing w:after="70" w:line="264"/>
      </w:pPr>
      <w:r>
        <w:rPr>
          <w:rFonts w:ascii="Calibri" w:cs="Calibri" w:eastAsia="Calibri" w:hAnsi="Calibri"/>
          <w:sz w:val="22"/>
          <w:szCs w:val="22"/>
        </w:rPr>
        <w:t xml:space="preserve">If the compromised account or host gives access to personal data, inform the data protection officer, who will assess whether the breach must be reported to the Information Commissioner's Office within 72 hours (Information Commissioner's Office [ICO], 2024).</w:t>
      </w:r>
    </w:p>
    <w:p>
      <w:pPr>
        <w:pStyle w:val="Heading3"/>
        <w:spacing w:after="80" w:before="200"/>
      </w:pPr>
      <w:r>
        <w:rPr>
          <w:rFonts w:ascii="Calibri" w:cs="Calibri" w:eastAsia="Calibri" w:hAnsi="Calibri"/>
        </w:rPr>
        <w:t xml:space="preserve">6. Evidence to preserve</w:t>
      </w:r>
    </w:p>
    <w:p>
      <w:pPr>
        <w:pStyle w:val="ListParagraph"/>
        <w:numPr>
          <w:ilvl w:val="0"/>
          <w:numId w:val="2"/>
        </w:numPr>
        <w:spacing w:after="70" w:line="264"/>
      </w:pPr>
      <w:r>
        <w:rPr>
          <w:rFonts w:ascii="Calibri" w:cs="Calibri" w:eastAsia="Calibri" w:hAnsi="Calibri"/>
          <w:sz w:val="22"/>
          <w:szCs w:val="22"/>
        </w:rPr>
        <w:t xml:space="preserve">Exported 4625 and 4624 events, the searches used and their results.</w:t>
      </w:r>
    </w:p>
    <w:p>
      <w:pPr>
        <w:pStyle w:val="ListParagraph"/>
        <w:numPr>
          <w:ilvl w:val="0"/>
          <w:numId w:val="2"/>
        </w:numPr>
        <w:spacing w:after="70" w:line="264"/>
      </w:pPr>
      <w:r>
        <w:rPr>
          <w:rFonts w:ascii="Calibri" w:cs="Calibri" w:eastAsia="Calibri" w:hAnsi="Calibri"/>
          <w:sz w:val="22"/>
          <w:szCs w:val="22"/>
        </w:rPr>
        <w:t xml:space="preserve">The list of source addresses and targeted accounts, and any firewall or network-security-group changes made.</w:t>
      </w:r>
    </w:p>
    <w:p>
      <w:pPr>
        <w:pStyle w:val="Heading3"/>
        <w:spacing w:after="80" w:before="200"/>
      </w:pPr>
      <w:r>
        <w:rPr>
          <w:rFonts w:ascii="Calibri" w:cs="Calibri" w:eastAsia="Calibri" w:hAnsi="Calibri"/>
        </w:rPr>
        <w:t xml:space="preserve">7. Lessons learned</w:t>
      </w:r>
    </w:p>
    <w:p>
      <w:pPr>
        <w:pStyle w:val="ListParagraph"/>
        <w:numPr>
          <w:ilvl w:val="0"/>
          <w:numId w:val="2"/>
        </w:numPr>
        <w:spacing w:after="70" w:line="264"/>
      </w:pPr>
      <w:r>
        <w:rPr>
          <w:rFonts w:ascii="Calibri" w:cs="Calibri" w:eastAsia="Calibri" w:hAnsi="Calibri"/>
          <w:sz w:val="22"/>
          <w:szCs w:val="22"/>
        </w:rPr>
        <w:t xml:space="preserve">Review whether the threshold of ten failures per hour remains appropriate given the volume of legitimate failures.</w:t>
      </w:r>
    </w:p>
    <w:p>
      <w:pPr>
        <w:pStyle w:val="ListParagraph"/>
        <w:numPr>
          <w:ilvl w:val="0"/>
          <w:numId w:val="2"/>
        </w:numPr>
        <w:spacing w:after="70" w:line="264"/>
      </w:pPr>
      <w:r>
        <w:rPr>
          <w:rFonts w:ascii="Calibri" w:cs="Calibri" w:eastAsia="Calibri" w:hAnsi="Calibri"/>
          <w:sz w:val="22"/>
          <w:szCs w:val="22"/>
        </w:rPr>
        <w:t xml:space="preserve">Add persistent attacking addresses to a watchlist with an expiry date, and review whether any other service is unnecessarily exposed to the internet.</w:t>
      </w:r>
    </w:p>
    <w:p>
      <w:pPr>
        <w:pStyle w:val="Heading1"/>
        <w:pageBreakBefore/>
        <w:spacing w:after="160" w:before="120"/>
      </w:pPr>
      <w:r>
        <w:rPr>
          <w:rFonts w:ascii="Calibri" w:cs="Calibri" w:eastAsia="Calibri" w:hAnsi="Calibri"/>
        </w:rPr>
        <w:t xml:space="preserve">D.4 PB-02 Credential dumping from LSASS memory</w:t>
      </w:r>
    </w:p>
    <w:p>
      <w:pPr>
        <w:spacing w:after="140" w:line="276"/>
        <w:jc w:val="both"/>
      </w:pPr>
      <w:r>
        <w:rPr>
          <w:rFonts w:ascii="Calibri" w:cs="Calibri" w:eastAsia="Calibri" w:hAnsi="Calibri"/>
          <w:sz w:val="22"/>
          <w:szCs w:val="22"/>
        </w:rPr>
        <w:t xml:space="preserve">Use this playbook when a process attempts to read the memory of the Local Security Authority Subsystem Service (LSASS), or when Microsoft Defender detects a credential-dumping tool. An attacker who can do this already has administrative rights on the host and is attempting to obtain credentials to move further into the network, so it is always treated as Critical.</w:t>
      </w:r>
    </w:p>
    <w:p>
      <w:pPr>
        <w:keepNext/>
        <w:spacing w:after="0" w:before="200"/>
      </w:pPr>
      <w:r>
        <w:rPr>
          <w:rFonts w:ascii="Calibri" w:cs="Calibri" w:eastAsia="Calibri" w:hAnsi="Calibri"/>
          <w:b/>
          <w:bCs/>
          <w:sz w:val="22"/>
          <w:szCs w:val="22"/>
        </w:rPr>
        <w:t xml:space="preserve">Table D4</w:t>
      </w:r>
    </w:p>
    <w:p>
      <w:pPr>
        <w:keepNext/>
        <w:spacing w:after="100"/>
      </w:pPr>
      <w:r>
        <w:rPr>
          <w:rFonts w:ascii="Calibri" w:cs="Calibri" w:eastAsia="Calibri" w:hAnsi="Calibri"/>
          <w:i/>
          <w:iCs/>
          <w:sz w:val="22"/>
          <w:szCs w:val="22"/>
        </w:rPr>
        <w:t xml:space="preserve">PB-02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Rule 9, LSASS credential dumping (Sysmon Event 10); Rule 12, Defender malware detection (Defender Events 1116 and 1117)</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MITRE ATT&amp;CK</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T1003.001 OS Credential Dumping: LSASS Memory</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Default severity</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Critical, whether or not the attempt was blocked</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Data sources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Sysmon Event 10; Microsoft Defender Events 1116 (detection) and 1117 (action taken); Windows Security Event 4688</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Dashboard panels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Critical &amp; High Alerts tile; MITRE ATT&amp;CK Techniques Detected; live detection feed</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Validation status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Atomic Red Team test T1003.001-2 (comsvcs.dll method) was blocked and removed by Defender, and Events 1116/1117 with the full command line were received in Splunk. Rule 9 has not yet been validated against an unblocked attempt.</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D4 summarises the trigger, technique, severity, data sources and validation status for PB-02. LSASS = Local Security Authority Subsystem Service.</w:t>
      </w:r>
    </w:p>
    <w:p>
      <w:pPr>
        <w:pStyle w:val="Heading3"/>
        <w:spacing w:after="80" w:before="200"/>
      </w:pPr>
      <w:r>
        <w:rPr>
          <w:rFonts w:ascii="Calibri" w:cs="Calibri" w:eastAsia="Calibri" w:hAnsi="Calibri"/>
        </w:rPr>
        <w:t xml:space="preserve">1. Trigger and triage</w:t>
      </w:r>
    </w:p>
    <w:p>
      <w:pPr>
        <w:pStyle w:val="ListParagraph"/>
        <w:numPr>
          <w:ilvl w:val="0"/>
          <w:numId w:val="2"/>
        </w:numPr>
        <w:spacing w:after="70" w:line="264"/>
      </w:pPr>
      <w:r>
        <w:rPr>
          <w:rFonts w:ascii="Calibri" w:cs="Calibri" w:eastAsia="Calibri" w:hAnsi="Calibri"/>
          <w:sz w:val="22"/>
          <w:szCs w:val="22"/>
        </w:rPr>
        <w:t xml:space="preserve">Treat the alert as Critical and notify the incident manager immediately; do not wait for confirmation.</w:t>
      </w:r>
    </w:p>
    <w:p>
      <w:pPr>
        <w:pStyle w:val="ListParagraph"/>
        <w:numPr>
          <w:ilvl w:val="0"/>
          <w:numId w:val="2"/>
        </w:numPr>
        <w:spacing w:after="70" w:line="264"/>
      </w:pPr>
      <w:r>
        <w:rPr>
          <w:rFonts w:ascii="Calibri" w:cs="Calibri" w:eastAsia="Calibri" w:hAnsi="Calibri"/>
          <w:sz w:val="22"/>
          <w:szCs w:val="22"/>
        </w:rPr>
        <w:t xml:space="preserve">Establish whether Defender blocked the attempt (Event 1117 shows the action taken) and which process and account performed it.</w:t>
      </w:r>
    </w:p>
    <w:p>
      <w:pPr>
        <w:shd w:fill="F2F2F2" w:color="auto" w:val="clear"/>
        <w:spacing w:after="0"/>
      </w:pPr>
      <w:r>
        <w:rPr>
          <w:rFonts w:ascii="Consolas" w:cs="Consolas" w:eastAsia="Consolas" w:hAnsi="Consolas"/>
          <w:sz w:val="17"/>
          <w:szCs w:val="17"/>
        </w:rPr>
        <w:t xml:space="preserve">index=windows_security (EventCode=1116 OR EventCode=1117)</w:t>
      </w:r>
    </w:p>
    <w:p>
      <w:pPr>
        <w:shd w:fill="F2F2F2" w:color="auto" w:val="clear"/>
        <w:spacing w:after="0"/>
      </w:pPr>
      <w:r>
        <w:rPr>
          <w:rFonts w:ascii="Consolas" w:cs="Consolas" w:eastAsia="Consolas" w:hAnsi="Consolas"/>
          <w:sz w:val="17"/>
          <w:szCs w:val="17"/>
        </w:rPr>
        <w:t xml:space="preserve">| table _time Computer EventCode Message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index=windows_sysmon EventCode=10 TargetImage="*\\lsass.exe"</w:t>
      </w:r>
    </w:p>
    <w:p>
      <w:pPr>
        <w:shd w:fill="F2F2F2" w:color="auto" w:val="clear"/>
        <w:spacing w:after="0"/>
      </w:pPr>
      <w:r>
        <w:rPr>
          <w:rFonts w:ascii="Consolas" w:cs="Consolas" w:eastAsia="Consolas" w:hAnsi="Consolas"/>
          <w:sz w:val="17"/>
          <w:szCs w:val="17"/>
        </w:rPr>
        <w:t xml:space="preserve">| table _time Computer SourceImage GrantedAccess</w:t>
      </w:r>
    </w:p>
    <w:p>
      <w:pPr>
        <w:spacing w:after="60"/>
      </w:pPr>
    </w:p>
    <w:p>
      <w:pPr>
        <w:pStyle w:val="Heading3"/>
        <w:spacing w:after="80" w:before="200"/>
      </w:pPr>
      <w:r>
        <w:rPr>
          <w:rFonts w:ascii="Calibri" w:cs="Calibri" w:eastAsia="Calibri" w:hAnsi="Calibri"/>
        </w:rPr>
        <w:t xml:space="preserve">2. Analysis</w:t>
      </w:r>
    </w:p>
    <w:p>
      <w:pPr>
        <w:pStyle w:val="ListParagraph"/>
        <w:numPr>
          <w:ilvl w:val="0"/>
          <w:numId w:val="2"/>
        </w:numPr>
        <w:spacing w:after="70" w:line="264"/>
      </w:pPr>
      <w:r>
        <w:rPr>
          <w:rFonts w:ascii="Calibri" w:cs="Calibri" w:eastAsia="Calibri" w:hAnsi="Calibri"/>
          <w:sz w:val="22"/>
          <w:szCs w:val="22"/>
        </w:rPr>
        <w:t xml:space="preserve">Reconstruct the process chain that led to the attempt using process-creation events, looking for known techniques such as comsvcs.dll MiniDump or procdump.</w:t>
      </w:r>
    </w:p>
    <w:p>
      <w:pPr>
        <w:pStyle w:val="ListParagraph"/>
        <w:numPr>
          <w:ilvl w:val="0"/>
          <w:numId w:val="2"/>
        </w:numPr>
        <w:spacing w:after="70" w:line="264"/>
      </w:pPr>
      <w:r>
        <w:rPr>
          <w:rFonts w:ascii="Calibri" w:cs="Calibri" w:eastAsia="Calibri" w:hAnsi="Calibri"/>
          <w:sz w:val="22"/>
          <w:szCs w:val="22"/>
        </w:rPr>
        <w:t xml:space="preserve">Identify how the attacker gained administrative rights on the host: look back for suspicious logons (PB-01), PowerShell (PB-03) or new services and scheduled tasks.</w:t>
      </w:r>
    </w:p>
    <w:p>
      <w:pPr>
        <w:pStyle w:val="ListParagraph"/>
        <w:numPr>
          <w:ilvl w:val="0"/>
          <w:numId w:val="2"/>
        </w:numPr>
        <w:spacing w:after="70" w:line="264"/>
      </w:pPr>
      <w:r>
        <w:rPr>
          <w:rFonts w:ascii="Calibri" w:cs="Calibri" w:eastAsia="Calibri" w:hAnsi="Calibri"/>
          <w:sz w:val="22"/>
          <w:szCs w:val="22"/>
        </w:rPr>
        <w:t xml:space="preserve">List every account that has logged on to the host recently, because any of their credentials may have been exposed.</w:t>
      </w:r>
    </w:p>
    <w:p>
      <w:pPr>
        <w:shd w:fill="F2F2F2" w:color="auto" w:val="clear"/>
        <w:spacing w:after="0"/>
      </w:pPr>
      <w:r>
        <w:rPr>
          <w:rFonts w:ascii="Consolas" w:cs="Consolas" w:eastAsia="Consolas" w:hAnsi="Consolas"/>
          <w:sz w:val="17"/>
          <w:szCs w:val="17"/>
        </w:rPr>
        <w:t xml:space="preserve">index=windows_security EventCode=4688</w:t>
      </w:r>
    </w:p>
    <w:p>
      <w:pPr>
        <w:shd w:fill="F2F2F2" w:color="auto" w:val="clear"/>
        <w:spacing w:after="0"/>
      </w:pPr>
      <w:r>
        <w:rPr>
          <w:rFonts w:ascii="Consolas" w:cs="Consolas" w:eastAsia="Consolas" w:hAnsi="Consolas"/>
          <w:sz w:val="17"/>
          <w:szCs w:val="17"/>
        </w:rPr>
        <w:t xml:space="preserve">  (CommandLine="*comsvcs*" OR CommandLine="*MiniDump*" OR CommandLine="*procdump*")</w:t>
      </w:r>
    </w:p>
    <w:p>
      <w:pPr>
        <w:shd w:fill="F2F2F2" w:color="auto" w:val="clear"/>
        <w:spacing w:after="0"/>
      </w:pPr>
      <w:r>
        <w:rPr>
          <w:rFonts w:ascii="Consolas" w:cs="Consolas" w:eastAsia="Consolas" w:hAnsi="Consolas"/>
          <w:sz w:val="17"/>
          <w:szCs w:val="17"/>
        </w:rPr>
        <w:t xml:space="preserve">| table _time Computer SubjectUserName ParentProcessName CommandLine</w:t>
      </w:r>
    </w:p>
    <w:p>
      <w:pPr>
        <w:spacing w:after="60"/>
      </w:pPr>
    </w:p>
    <w:p>
      <w:pPr>
        <w:pStyle w:val="Heading3"/>
        <w:spacing w:after="80" w:before="200"/>
      </w:pPr>
      <w:r>
        <w:rPr>
          <w:rFonts w:ascii="Calibri" w:cs="Calibri" w:eastAsia="Calibri" w:hAnsi="Calibri"/>
        </w:rPr>
        <w:t xml:space="preserve">3. Containment</w:t>
      </w:r>
    </w:p>
    <w:p>
      <w:pPr>
        <w:pStyle w:val="ListParagraph"/>
        <w:numPr>
          <w:ilvl w:val="0"/>
          <w:numId w:val="2"/>
        </w:numPr>
        <w:spacing w:after="70" w:line="264"/>
      </w:pPr>
      <w:r>
        <w:rPr>
          <w:rFonts w:ascii="Calibri" w:cs="Calibri" w:eastAsia="Calibri" w:hAnsi="Calibri"/>
          <w:sz w:val="22"/>
          <w:szCs w:val="22"/>
        </w:rPr>
        <w:t xml:space="preserve">Isolate the host from the network immediately, keeping it powered on so that volatile evidence can be considered.</w:t>
      </w:r>
    </w:p>
    <w:p>
      <w:pPr>
        <w:pStyle w:val="ListParagraph"/>
        <w:numPr>
          <w:ilvl w:val="0"/>
          <w:numId w:val="2"/>
        </w:numPr>
        <w:spacing w:after="70" w:line="264"/>
      </w:pPr>
      <w:r>
        <w:rPr>
          <w:rFonts w:ascii="Calibri" w:cs="Calibri" w:eastAsia="Calibri" w:hAnsi="Calibri"/>
          <w:sz w:val="22"/>
          <w:szCs w:val="22"/>
        </w:rPr>
        <w:t xml:space="preserve">Assume that credentials used on the host are compromised: disable or reset them, starting with privileged and service accounts.</w:t>
      </w:r>
    </w:p>
    <w:p>
      <w:pPr>
        <w:pStyle w:val="ListParagraph"/>
        <w:numPr>
          <w:ilvl w:val="0"/>
          <w:numId w:val="2"/>
        </w:numPr>
        <w:spacing w:after="70" w:line="264"/>
      </w:pPr>
      <w:r>
        <w:rPr>
          <w:rFonts w:ascii="Calibri" w:cs="Calibri" w:eastAsia="Calibri" w:hAnsi="Calibri"/>
          <w:sz w:val="22"/>
          <w:szCs w:val="22"/>
        </w:rPr>
        <w:t xml:space="preserve">Block the file hashes of any tools identified.</w:t>
      </w:r>
    </w:p>
    <w:p>
      <w:pPr>
        <w:pStyle w:val="Heading3"/>
        <w:spacing w:after="80" w:before="200"/>
      </w:pPr>
      <w:r>
        <w:rPr>
          <w:rFonts w:ascii="Calibri" w:cs="Calibri" w:eastAsia="Calibri" w:hAnsi="Calibri"/>
        </w:rPr>
        <w:t xml:space="preserve">4. Eradication and recovery</w:t>
      </w:r>
    </w:p>
    <w:p>
      <w:pPr>
        <w:pStyle w:val="ListParagraph"/>
        <w:numPr>
          <w:ilvl w:val="0"/>
          <w:numId w:val="2"/>
        </w:numPr>
        <w:spacing w:after="70" w:line="264"/>
      </w:pPr>
      <w:r>
        <w:rPr>
          <w:rFonts w:ascii="Calibri" w:cs="Calibri" w:eastAsia="Calibri" w:hAnsi="Calibri"/>
          <w:sz w:val="22"/>
          <w:szCs w:val="22"/>
        </w:rPr>
        <w:t xml:space="preserve">Remove the attacker's tools and any persistence found during analysis, then rebuild the host from a known-good image (in the lab, restore the clean virtual-machine snapshot).</w:t>
      </w:r>
    </w:p>
    <w:p>
      <w:pPr>
        <w:pStyle w:val="ListParagraph"/>
        <w:numPr>
          <w:ilvl w:val="0"/>
          <w:numId w:val="2"/>
        </w:numPr>
        <w:spacing w:after="70" w:line="264"/>
      </w:pPr>
      <w:r>
        <w:rPr>
          <w:rFonts w:ascii="Calibri" w:cs="Calibri" w:eastAsia="Calibri" w:hAnsi="Calibri"/>
          <w:sz w:val="22"/>
          <w:szCs w:val="22"/>
        </w:rPr>
        <w:t xml:space="preserve">Rotate all exposed credentials, including service accounts, before reconnecting the host.</w:t>
      </w:r>
    </w:p>
    <w:p>
      <w:pPr>
        <w:pStyle w:val="ListParagraph"/>
        <w:numPr>
          <w:ilvl w:val="0"/>
          <w:numId w:val="2"/>
        </w:numPr>
        <w:spacing w:after="70" w:line="264"/>
      </w:pPr>
      <w:r>
        <w:rPr>
          <w:rFonts w:ascii="Calibri" w:cs="Calibri" w:eastAsia="Calibri" w:hAnsi="Calibri"/>
          <w:sz w:val="22"/>
          <w:szCs w:val="22"/>
        </w:rPr>
        <w:t xml:space="preserve">Monitor for reuse of the exposed credentials elsewhere, such as explicit-credential logons (Rule 7, Event 4648) or logons from unexpected hosts.</w:t>
      </w:r>
    </w:p>
    <w:p>
      <w:pPr>
        <w:pStyle w:val="Heading3"/>
        <w:spacing w:after="80" w:before="200"/>
      </w:pPr>
      <w:r>
        <w:rPr>
          <w:rFonts w:ascii="Calibri" w:cs="Calibri" w:eastAsia="Calibri" w:hAnsi="Calibri"/>
        </w:rPr>
        <w:t xml:space="preserve">5. Communication and escalation</w:t>
      </w:r>
    </w:p>
    <w:p>
      <w:pPr>
        <w:pStyle w:val="ListParagraph"/>
        <w:numPr>
          <w:ilvl w:val="0"/>
          <w:numId w:val="2"/>
        </w:numPr>
        <w:spacing w:after="70" w:line="264"/>
      </w:pPr>
      <w:r>
        <w:rPr>
          <w:rFonts w:ascii="Calibri" w:cs="Calibri" w:eastAsia="Calibri" w:hAnsi="Calibri"/>
          <w:sz w:val="22"/>
          <w:szCs w:val="22"/>
        </w:rPr>
        <w:t xml:space="preserve">Escalate to the incident manager and CISO immediately.</w:t>
      </w:r>
    </w:p>
    <w:p>
      <w:pPr>
        <w:pStyle w:val="ListParagraph"/>
        <w:numPr>
          <w:ilvl w:val="0"/>
          <w:numId w:val="2"/>
        </w:numPr>
        <w:spacing w:after="70" w:line="264"/>
      </w:pPr>
      <w:r>
        <w:rPr>
          <w:rFonts w:ascii="Calibri" w:cs="Calibri" w:eastAsia="Calibri" w:hAnsi="Calibri"/>
          <w:sz w:val="22"/>
          <w:szCs w:val="22"/>
        </w:rPr>
        <w:t xml:space="preserve">Involve the data protection officer if the host or the exposed credentials give access to personal data, to assess the 72-hour notification requirement (ICO, 2024), and involve compliance to assess any other regulatory reporting.</w:t>
      </w:r>
    </w:p>
    <w:p>
      <w:pPr>
        <w:pStyle w:val="Heading3"/>
        <w:spacing w:after="80" w:before="200"/>
      </w:pPr>
      <w:r>
        <w:rPr>
          <w:rFonts w:ascii="Calibri" w:cs="Calibri" w:eastAsia="Calibri" w:hAnsi="Calibri"/>
        </w:rPr>
        <w:t xml:space="preserve">6. Evidence to preserve</w:t>
      </w:r>
    </w:p>
    <w:p>
      <w:pPr>
        <w:pStyle w:val="ListParagraph"/>
        <w:numPr>
          <w:ilvl w:val="0"/>
          <w:numId w:val="2"/>
        </w:numPr>
        <w:spacing w:after="70" w:line="264"/>
      </w:pPr>
      <w:r>
        <w:rPr>
          <w:rFonts w:ascii="Calibri" w:cs="Calibri" w:eastAsia="Calibri" w:hAnsi="Calibri"/>
          <w:sz w:val="22"/>
          <w:szCs w:val="22"/>
        </w:rPr>
        <w:t xml:space="preserve">Defender detection details (threat name, file path, command line and action taken), Sysmon Event 10 records and the process-creation chain.</w:t>
      </w:r>
    </w:p>
    <w:p>
      <w:pPr>
        <w:pStyle w:val="ListParagraph"/>
        <w:numPr>
          <w:ilvl w:val="0"/>
          <w:numId w:val="2"/>
        </w:numPr>
        <w:spacing w:after="70" w:line="264"/>
      </w:pPr>
      <w:r>
        <w:rPr>
          <w:rFonts w:ascii="Calibri" w:cs="Calibri" w:eastAsia="Calibri" w:hAnsi="Calibri"/>
          <w:sz w:val="22"/>
          <w:szCs w:val="22"/>
        </w:rPr>
        <w:t xml:space="preserve">A memory image of the host if one can be captured safely, and the hashes of all exported files.</w:t>
      </w:r>
    </w:p>
    <w:p>
      <w:pPr>
        <w:pStyle w:val="Heading3"/>
        <w:spacing w:after="80" w:before="200"/>
      </w:pPr>
      <w:r>
        <w:rPr>
          <w:rFonts w:ascii="Calibri" w:cs="Calibri" w:eastAsia="Calibri" w:hAnsi="Calibri"/>
        </w:rPr>
        <w:t xml:space="preserve">7. Lessons learned</w:t>
      </w:r>
    </w:p>
    <w:p>
      <w:pPr>
        <w:pStyle w:val="ListParagraph"/>
        <w:numPr>
          <w:ilvl w:val="0"/>
          <w:numId w:val="2"/>
        </w:numPr>
        <w:spacing w:after="70" w:line="264"/>
      </w:pPr>
      <w:r>
        <w:rPr>
          <w:rFonts w:ascii="Calibri" w:cs="Calibri" w:eastAsia="Calibri" w:hAnsi="Calibri"/>
          <w:sz w:val="22"/>
          <w:szCs w:val="22"/>
        </w:rPr>
        <w:t xml:space="preserve">Validate Rule 9 against an unblocked test in a controlled, documented exception, so that detection does not rely on Defender alone.</w:t>
      </w:r>
    </w:p>
    <w:p>
      <w:pPr>
        <w:pStyle w:val="ListParagraph"/>
        <w:numPr>
          <w:ilvl w:val="0"/>
          <w:numId w:val="2"/>
        </w:numPr>
        <w:spacing w:after="70" w:line="264"/>
      </w:pPr>
      <w:r>
        <w:rPr>
          <w:rFonts w:ascii="Calibri" w:cs="Calibri" w:eastAsia="Calibri" w:hAnsi="Calibri"/>
          <w:sz w:val="22"/>
          <w:szCs w:val="22"/>
        </w:rPr>
        <w:t xml:space="preserve">Review whether LSA protection and Credential Guard are enabled across the client estate to make LSASS harder to read.</w:t>
      </w:r>
    </w:p>
    <w:p>
      <w:pPr>
        <w:pStyle w:val="Heading1"/>
        <w:pageBreakBefore/>
        <w:spacing w:after="160" w:before="120"/>
      </w:pPr>
      <w:r>
        <w:rPr>
          <w:rFonts w:ascii="Calibri" w:cs="Calibri" w:eastAsia="Calibri" w:hAnsi="Calibri"/>
        </w:rPr>
        <w:t xml:space="preserve">D.5 PB-03 Suspicious or encoded PowerShell</w:t>
      </w:r>
    </w:p>
    <w:p>
      <w:pPr>
        <w:spacing w:after="140" w:line="276"/>
        <w:jc w:val="both"/>
      </w:pPr>
      <w:r>
        <w:rPr>
          <w:rFonts w:ascii="Calibri" w:cs="Calibri" w:eastAsia="Calibri" w:hAnsi="Calibri"/>
          <w:sz w:val="22"/>
          <w:szCs w:val="22"/>
        </w:rPr>
        <w:t xml:space="preserve">Use this playbook when PowerShell is launched with an encoded command, a hidden window, or a download-and-execute pattern. Attackers favour these options because they hide what the command does from simple inspection, but the behaviour of launching PowerShell in this way is itself a strong signal.</w:t>
      </w:r>
    </w:p>
    <w:p>
      <w:pPr>
        <w:keepNext/>
        <w:spacing w:after="0" w:before="200"/>
      </w:pPr>
      <w:r>
        <w:rPr>
          <w:rFonts w:ascii="Calibri" w:cs="Calibri" w:eastAsia="Calibri" w:hAnsi="Calibri"/>
          <w:b/>
          <w:bCs/>
          <w:sz w:val="22"/>
          <w:szCs w:val="22"/>
        </w:rPr>
        <w:t xml:space="preserve">Table D5</w:t>
      </w:r>
    </w:p>
    <w:p>
      <w:pPr>
        <w:keepNext/>
        <w:spacing w:after="100"/>
      </w:pPr>
      <w:r>
        <w:rPr>
          <w:rFonts w:ascii="Calibri" w:cs="Calibri" w:eastAsia="Calibri" w:hAnsi="Calibri"/>
          <w:i/>
          <w:iCs/>
          <w:sz w:val="22"/>
          <w:szCs w:val="22"/>
        </w:rPr>
        <w:t xml:space="preserve">PB-03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Rule 1, Suspicious PowerShell execution; Rule 14, Encoded PowerShell (both Windows Event 4688 with command-line auditing)</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MITRE ATT&amp;CK</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T1059.001 Command and Scripting Interpreter: PowerShell; T1027 Obfuscated Files or Information</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Default severity</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High; Critical if the decoded command downloads or runs code, or contacts an external address</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Data sources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Windows Security Event 4688; Sysmon Event 1; Suricata alerts for the same time window</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Dashboard panels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Top Suspicious Command Lines; live detection feed</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Validation status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Atomic Red Team test T1059.001-17 was detected, with the full parent-child chain (cmd.exe launching powershell.exe -e) recorded. The log forwarder is excluded as known-good after tuning reduced matches from 714 to 29.</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D5 summarises the trigger, techniques, severity, data sources and validation status for PB-03.</w:t>
      </w:r>
    </w:p>
    <w:p>
      <w:pPr>
        <w:pStyle w:val="Heading3"/>
        <w:spacing w:after="80" w:before="200"/>
      </w:pPr>
      <w:r>
        <w:rPr>
          <w:rFonts w:ascii="Calibri" w:cs="Calibri" w:eastAsia="Calibri" w:hAnsi="Calibri"/>
        </w:rPr>
        <w:t xml:space="preserve">1. Trigger and triage</w:t>
      </w:r>
    </w:p>
    <w:p>
      <w:pPr>
        <w:pStyle w:val="ListParagraph"/>
        <w:numPr>
          <w:ilvl w:val="0"/>
          <w:numId w:val="2"/>
        </w:numPr>
        <w:spacing w:after="70" w:line="264"/>
      </w:pPr>
      <w:r>
        <w:rPr>
          <w:rFonts w:ascii="Calibri" w:cs="Calibri" w:eastAsia="Calibri" w:hAnsi="Calibri"/>
          <w:sz w:val="22"/>
          <w:szCs w:val="22"/>
        </w:rPr>
        <w:t xml:space="preserve">Retrieve the full command line, the parent process and the user account.</w:t>
      </w:r>
    </w:p>
    <w:p>
      <w:pPr>
        <w:shd w:fill="F2F2F2" w:color="auto" w:val="clear"/>
        <w:spacing w:after="0"/>
      </w:pPr>
      <w:r>
        <w:rPr>
          <w:rFonts w:ascii="Consolas" w:cs="Consolas" w:eastAsia="Consolas" w:hAnsi="Consolas"/>
          <w:sz w:val="17"/>
          <w:szCs w:val="17"/>
        </w:rPr>
        <w:t xml:space="preserve">index=windows_security EventCode=4688 powershell</w:t>
      </w:r>
    </w:p>
    <w:p>
      <w:pPr>
        <w:shd w:fill="F2F2F2" w:color="auto" w:val="clear"/>
        <w:spacing w:after="0"/>
      </w:pPr>
      <w:r>
        <w:rPr>
          <w:rFonts w:ascii="Consolas" w:cs="Consolas" w:eastAsia="Consolas" w:hAnsi="Consolas"/>
          <w:sz w:val="17"/>
          <w:szCs w:val="17"/>
        </w:rPr>
        <w:t xml:space="preserve">  ("-enc" OR "-EncodedCommand" OR "IEX" OR "DownloadString" OR "-w hidden")</w:t>
      </w:r>
    </w:p>
    <w:p>
      <w:pPr>
        <w:shd w:fill="F2F2F2" w:color="auto" w:val="clear"/>
        <w:spacing w:after="0"/>
      </w:pPr>
      <w:r>
        <w:rPr>
          <w:rFonts w:ascii="Consolas" w:cs="Consolas" w:eastAsia="Consolas" w:hAnsi="Consolas"/>
          <w:sz w:val="17"/>
          <w:szCs w:val="17"/>
        </w:rPr>
        <w:t xml:space="preserve">  NOT "Send-LogsToHEC"</w:t>
      </w:r>
    </w:p>
    <w:p>
      <w:pPr>
        <w:shd w:fill="F2F2F2" w:color="auto" w:val="clear"/>
        <w:spacing w:after="0"/>
      </w:pPr>
      <w:r>
        <w:rPr>
          <w:rFonts w:ascii="Consolas" w:cs="Consolas" w:eastAsia="Consolas" w:hAnsi="Consolas"/>
          <w:sz w:val="17"/>
          <w:szCs w:val="17"/>
        </w:rPr>
        <w:t xml:space="preserve">| table _time Computer SubjectUserName ParentProcessName CommandLine</w:t>
      </w:r>
    </w:p>
    <w:p>
      <w:pPr>
        <w:spacing w:after="60"/>
      </w:pPr>
    </w:p>
    <w:p>
      <w:pPr>
        <w:pStyle w:val="ListParagraph"/>
        <w:numPr>
          <w:ilvl w:val="0"/>
          <w:numId w:val="2"/>
        </w:numPr>
        <w:spacing w:after="70" w:line="264"/>
      </w:pPr>
      <w:r>
        <w:rPr>
          <w:rFonts w:ascii="Calibri" w:cs="Calibri" w:eastAsia="Calibri" w:hAnsi="Calibri"/>
          <w:sz w:val="22"/>
          <w:szCs w:val="22"/>
        </w:rPr>
        <w:t xml:space="preserve">Check whether the activity matches a documented, approved administrative script. If it does, close as benign and record the reason; if not, continue.</w:t>
      </w:r>
    </w:p>
    <w:p>
      <w:pPr>
        <w:pStyle w:val="Heading3"/>
        <w:spacing w:after="80" w:before="200"/>
      </w:pPr>
      <w:r>
        <w:rPr>
          <w:rFonts w:ascii="Calibri" w:cs="Calibri" w:eastAsia="Calibri" w:hAnsi="Calibri"/>
        </w:rPr>
        <w:t xml:space="preserve">2. Analysis</w:t>
      </w:r>
    </w:p>
    <w:p>
      <w:pPr>
        <w:pStyle w:val="ListParagraph"/>
        <w:numPr>
          <w:ilvl w:val="0"/>
          <w:numId w:val="2"/>
        </w:numPr>
        <w:spacing w:after="70" w:line="264"/>
      </w:pPr>
      <w:r>
        <w:rPr>
          <w:rFonts w:ascii="Calibri" w:cs="Calibri" w:eastAsia="Calibri" w:hAnsi="Calibri"/>
          <w:sz w:val="22"/>
          <w:szCs w:val="22"/>
        </w:rPr>
        <w:t xml:space="preserve">Decode any encoded command. PowerShell's -EncodedCommand takes Base64-encoded UTF-16LE text, which can be decoded on an analysis workstation, for example with: [Text.Encoding]::Unicode.GetString([Convert]::FromBase64String("&lt;string&gt;")).</w:t>
      </w:r>
    </w:p>
    <w:p>
      <w:pPr>
        <w:pStyle w:val="ListParagraph"/>
        <w:numPr>
          <w:ilvl w:val="0"/>
          <w:numId w:val="2"/>
        </w:numPr>
        <w:spacing w:after="70" w:line="264"/>
      </w:pPr>
      <w:r>
        <w:rPr>
          <w:rFonts w:ascii="Calibri" w:cs="Calibri" w:eastAsia="Calibri" w:hAnsi="Calibri"/>
          <w:sz w:val="22"/>
          <w:szCs w:val="22"/>
        </w:rPr>
        <w:t xml:space="preserve">Assess the parent process: PowerShell started by an Office application or browser suggests a malicious document or download; started by a scheduled task or service suggests persistence.</w:t>
      </w:r>
    </w:p>
    <w:p>
      <w:pPr>
        <w:pStyle w:val="ListParagraph"/>
        <w:numPr>
          <w:ilvl w:val="0"/>
          <w:numId w:val="2"/>
        </w:numPr>
        <w:spacing w:after="70" w:line="264"/>
      </w:pPr>
      <w:r>
        <w:rPr>
          <w:rFonts w:ascii="Calibri" w:cs="Calibri" w:eastAsia="Calibri" w:hAnsi="Calibri"/>
          <w:sz w:val="22"/>
          <w:szCs w:val="22"/>
        </w:rPr>
        <w:t xml:space="preserve">Look for follow-on activity on the same host in the minutes after execution: discovery commands (Rule 13), certutil downloads (Rule 11), new services, tasks or Run keys, and any Suricata alerts involving the host.</w:t>
      </w:r>
    </w:p>
    <w:p>
      <w:pPr>
        <w:pStyle w:val="Heading3"/>
        <w:spacing w:after="80" w:before="200"/>
      </w:pPr>
      <w:r>
        <w:rPr>
          <w:rFonts w:ascii="Calibri" w:cs="Calibri" w:eastAsia="Calibri" w:hAnsi="Calibri"/>
        </w:rPr>
        <w:t xml:space="preserve">3. Containment</w:t>
      </w:r>
    </w:p>
    <w:p>
      <w:pPr>
        <w:pStyle w:val="ListParagraph"/>
        <w:numPr>
          <w:ilvl w:val="0"/>
          <w:numId w:val="2"/>
        </w:numPr>
        <w:spacing w:after="70" w:line="264"/>
      </w:pPr>
      <w:r>
        <w:rPr>
          <w:rFonts w:ascii="Calibri" w:cs="Calibri" w:eastAsia="Calibri" w:hAnsi="Calibri"/>
          <w:sz w:val="22"/>
          <w:szCs w:val="22"/>
        </w:rPr>
        <w:t xml:space="preserve">If the command is malicious, isolate the host and stop the process.</w:t>
      </w:r>
    </w:p>
    <w:p>
      <w:pPr>
        <w:pStyle w:val="ListParagraph"/>
        <w:numPr>
          <w:ilvl w:val="0"/>
          <w:numId w:val="2"/>
        </w:numPr>
        <w:spacing w:after="70" w:line="264"/>
      </w:pPr>
      <w:r>
        <w:rPr>
          <w:rFonts w:ascii="Calibri" w:cs="Calibri" w:eastAsia="Calibri" w:hAnsi="Calibri"/>
          <w:sz w:val="22"/>
          <w:szCs w:val="22"/>
        </w:rPr>
        <w:t xml:space="preserve">Block any domain or IP address the command contacted, and disable the user account if it appears to be compromised.</w:t>
      </w:r>
    </w:p>
    <w:p>
      <w:pPr>
        <w:pStyle w:val="Heading3"/>
        <w:spacing w:after="80" w:before="200"/>
      </w:pPr>
      <w:r>
        <w:rPr>
          <w:rFonts w:ascii="Calibri" w:cs="Calibri" w:eastAsia="Calibri" w:hAnsi="Calibri"/>
        </w:rPr>
        <w:t xml:space="preserve">4. Eradication and recovery</w:t>
      </w:r>
    </w:p>
    <w:p>
      <w:pPr>
        <w:pStyle w:val="ListParagraph"/>
        <w:numPr>
          <w:ilvl w:val="0"/>
          <w:numId w:val="2"/>
        </w:numPr>
        <w:spacing w:after="70" w:line="264"/>
      </w:pPr>
      <w:r>
        <w:rPr>
          <w:rFonts w:ascii="Calibri" w:cs="Calibri" w:eastAsia="Calibri" w:hAnsi="Calibri"/>
          <w:sz w:val="22"/>
          <w:szCs w:val="22"/>
        </w:rPr>
        <w:t xml:space="preserve">Remove any persistence created (Rules 3, 4 and 10) and run a full Microsoft Defender scan.</w:t>
      </w:r>
    </w:p>
    <w:p>
      <w:pPr>
        <w:pStyle w:val="ListParagraph"/>
        <w:numPr>
          <w:ilvl w:val="0"/>
          <w:numId w:val="2"/>
        </w:numPr>
        <w:spacing w:after="70" w:line="264"/>
      </w:pPr>
      <w:r>
        <w:rPr>
          <w:rFonts w:ascii="Calibri" w:cs="Calibri" w:eastAsia="Calibri" w:hAnsi="Calibri"/>
          <w:sz w:val="22"/>
          <w:szCs w:val="22"/>
        </w:rPr>
        <w:t xml:space="preserve">If the integrity of the host cannot be confirmed, rebuild it from a known-good image (in the lab, restore the clean snapshot).</w:t>
      </w:r>
    </w:p>
    <w:p>
      <w:pPr>
        <w:pStyle w:val="Heading3"/>
        <w:spacing w:after="80" w:before="200"/>
      </w:pPr>
      <w:r>
        <w:rPr>
          <w:rFonts w:ascii="Calibri" w:cs="Calibri" w:eastAsia="Calibri" w:hAnsi="Calibri"/>
        </w:rPr>
        <w:t xml:space="preserve">5. Communication and escalation</w:t>
      </w:r>
    </w:p>
    <w:p>
      <w:pPr>
        <w:pStyle w:val="ListParagraph"/>
        <w:numPr>
          <w:ilvl w:val="0"/>
          <w:numId w:val="2"/>
        </w:numPr>
        <w:spacing w:after="70" w:line="264"/>
      </w:pPr>
      <w:r>
        <w:rPr>
          <w:rFonts w:ascii="Calibri" w:cs="Calibri" w:eastAsia="Calibri" w:hAnsi="Calibri"/>
          <w:sz w:val="22"/>
          <w:szCs w:val="22"/>
        </w:rPr>
        <w:t xml:space="preserve">High: inform the incident manager within the target time; escalate to Critical and inform the CISO if code was downloaded or executed.</w:t>
      </w:r>
    </w:p>
    <w:p>
      <w:pPr>
        <w:pStyle w:val="ListParagraph"/>
        <w:numPr>
          <w:ilvl w:val="0"/>
          <w:numId w:val="2"/>
        </w:numPr>
        <w:spacing w:after="70" w:line="264"/>
      </w:pPr>
      <w:r>
        <w:rPr>
          <w:rFonts w:ascii="Calibri" w:cs="Calibri" w:eastAsia="Calibri" w:hAnsi="Calibri"/>
          <w:sz w:val="22"/>
          <w:szCs w:val="22"/>
        </w:rPr>
        <w:t xml:space="preserve">Involve the data protection officer if the host holds or can reach personal data (ICO, 2024).</w:t>
      </w:r>
    </w:p>
    <w:p>
      <w:pPr>
        <w:pStyle w:val="Heading3"/>
        <w:spacing w:after="80" w:before="200"/>
      </w:pPr>
      <w:r>
        <w:rPr>
          <w:rFonts w:ascii="Calibri" w:cs="Calibri" w:eastAsia="Calibri" w:hAnsi="Calibri"/>
        </w:rPr>
        <w:t xml:space="preserve">6. Evidence to preserve</w:t>
      </w:r>
    </w:p>
    <w:p>
      <w:pPr>
        <w:pStyle w:val="ListParagraph"/>
        <w:numPr>
          <w:ilvl w:val="0"/>
          <w:numId w:val="2"/>
        </w:numPr>
        <w:spacing w:after="70" w:line="264"/>
      </w:pPr>
      <w:r>
        <w:rPr>
          <w:rFonts w:ascii="Calibri" w:cs="Calibri" w:eastAsia="Calibri" w:hAnsi="Calibri"/>
          <w:sz w:val="22"/>
          <w:szCs w:val="22"/>
        </w:rPr>
        <w:t xml:space="preserve">The full original command line, the decoded script, the parent-child process chain and any related network alerts.</w:t>
      </w:r>
    </w:p>
    <w:p>
      <w:pPr>
        <w:pStyle w:val="Heading3"/>
        <w:spacing w:after="80" w:before="200"/>
      </w:pPr>
      <w:r>
        <w:rPr>
          <w:rFonts w:ascii="Calibri" w:cs="Calibri" w:eastAsia="Calibri" w:hAnsi="Calibri"/>
        </w:rPr>
        <w:t xml:space="preserve">7. Lessons learned</w:t>
      </w:r>
    </w:p>
    <w:p>
      <w:pPr>
        <w:pStyle w:val="ListParagraph"/>
        <w:numPr>
          <w:ilvl w:val="0"/>
          <w:numId w:val="2"/>
        </w:numPr>
        <w:spacing w:after="70" w:line="264"/>
      </w:pPr>
      <w:r>
        <w:rPr>
          <w:rFonts w:ascii="Calibri" w:cs="Calibri" w:eastAsia="Calibri" w:hAnsi="Calibri"/>
          <w:sz w:val="22"/>
          <w:szCs w:val="22"/>
        </w:rPr>
        <w:t xml:space="preserve">Add newly approved administrative scripts to a documented allow-list rather than weakening the rule.</w:t>
      </w:r>
    </w:p>
    <w:p>
      <w:pPr>
        <w:pStyle w:val="ListParagraph"/>
        <w:numPr>
          <w:ilvl w:val="0"/>
          <w:numId w:val="2"/>
        </w:numPr>
        <w:spacing w:after="70" w:line="264"/>
      </w:pPr>
      <w:r>
        <w:rPr>
          <w:rFonts w:ascii="Calibri" w:cs="Calibri" w:eastAsia="Calibri" w:hAnsi="Calibri"/>
          <w:sz w:val="22"/>
          <w:szCs w:val="22"/>
        </w:rPr>
        <w:t xml:space="preserve">Consider enabling PowerShell Script Block Logging (Event 4104), which records the decoded content of scripts as they run.</w:t>
      </w:r>
    </w:p>
    <w:p>
      <w:pPr>
        <w:pStyle w:val="Heading1"/>
        <w:pageBreakBefore/>
        <w:spacing w:after="160" w:before="120"/>
      </w:pPr>
      <w:r>
        <w:rPr>
          <w:rFonts w:ascii="Calibri" w:cs="Calibri" w:eastAsia="Calibri" w:hAnsi="Calibri"/>
        </w:rPr>
        <w:t xml:space="preserve">D.6 PB-04 Security event log cleared</w:t>
      </w:r>
    </w:p>
    <w:p>
      <w:pPr>
        <w:spacing w:after="140" w:line="276"/>
        <w:jc w:val="both"/>
      </w:pPr>
      <w:r>
        <w:rPr>
          <w:rFonts w:ascii="Calibri" w:cs="Calibri" w:eastAsia="Calibri" w:hAnsi="Calibri"/>
          <w:sz w:val="22"/>
          <w:szCs w:val="22"/>
        </w:rPr>
        <w:t xml:space="preserve">Use this playbook when the Windows Security log is cleared. Legitimate clearing is rare and should be covered by an approved change; otherwise it usually indicates an attacker removing evidence of earlier activity. Because the SOC forwards events to the SIEM within about a minute, the events that the attacker tried to erase are normally still available in Splunk.</w:t>
      </w:r>
    </w:p>
    <w:p>
      <w:pPr>
        <w:keepNext/>
        <w:spacing w:after="0" w:before="200"/>
      </w:pPr>
      <w:r>
        <w:rPr>
          <w:rFonts w:ascii="Calibri" w:cs="Calibri" w:eastAsia="Calibri" w:hAnsi="Calibri"/>
          <w:b/>
          <w:bCs/>
          <w:sz w:val="22"/>
          <w:szCs w:val="22"/>
        </w:rPr>
        <w:t xml:space="preserve">Table D6</w:t>
      </w:r>
    </w:p>
    <w:p>
      <w:pPr>
        <w:keepNext/>
        <w:spacing w:after="100"/>
      </w:pPr>
      <w:r>
        <w:rPr>
          <w:rFonts w:ascii="Calibri" w:cs="Calibri" w:eastAsia="Calibri" w:hAnsi="Calibri"/>
          <w:i/>
          <w:iCs/>
          <w:sz w:val="22"/>
          <w:szCs w:val="22"/>
        </w:rPr>
        <w:t xml:space="preserve">PB-04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Rule 5, Security event log cleared (Windows Event 1102)</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MITRE ATT&amp;CK</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T1070.001 Indicator Removal: Clear Windows Event Logs</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Default severity</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Critical unless an approved change covers it</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Data sources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Windows Security Event 1102; all events from the same host in the preceding hours</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Dashboard panels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Critical &amp; High Alerts tile; live detection feed</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Validation status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Not yet tested with Atomic Red Team; shown as covered but not validated in Figure 4.3. Atomic test T1070.001 is planned.</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D6 summarises the trigger, technique, severity, data sources and validation status for PB-04.</w:t>
      </w:r>
    </w:p>
    <w:p>
      <w:pPr>
        <w:pStyle w:val="Heading3"/>
        <w:spacing w:after="80" w:before="200"/>
      </w:pPr>
      <w:r>
        <w:rPr>
          <w:rFonts w:ascii="Calibri" w:cs="Calibri" w:eastAsia="Calibri" w:hAnsi="Calibri"/>
        </w:rPr>
        <w:t xml:space="preserve">1. Trigger and triage</w:t>
      </w:r>
    </w:p>
    <w:p>
      <w:pPr>
        <w:pStyle w:val="ListParagraph"/>
        <w:numPr>
          <w:ilvl w:val="0"/>
          <w:numId w:val="2"/>
        </w:numPr>
        <w:spacing w:after="70" w:line="264"/>
      </w:pPr>
      <w:r>
        <w:rPr>
          <w:rFonts w:ascii="Calibri" w:cs="Calibri" w:eastAsia="Calibri" w:hAnsi="Calibri"/>
          <w:sz w:val="22"/>
          <w:szCs w:val="22"/>
        </w:rPr>
        <w:t xml:space="preserve">Identify the host, the time and the account that cleared the log.</w:t>
      </w:r>
    </w:p>
    <w:p>
      <w:pPr>
        <w:pStyle w:val="ListParagraph"/>
        <w:numPr>
          <w:ilvl w:val="0"/>
          <w:numId w:val="2"/>
        </w:numPr>
        <w:spacing w:after="70" w:line="264"/>
      </w:pPr>
      <w:r>
        <w:rPr>
          <w:rFonts w:ascii="Calibri" w:cs="Calibri" w:eastAsia="Calibri" w:hAnsi="Calibri"/>
          <w:sz w:val="22"/>
          <w:szCs w:val="22"/>
        </w:rPr>
        <w:t xml:space="preserve">Check the change-management record. If an approved change covers the action, record it and close; if not, treat it as an active intrusion.</w:t>
      </w:r>
    </w:p>
    <w:p>
      <w:pPr>
        <w:shd w:fill="F2F2F2" w:color="auto" w:val="clear"/>
        <w:spacing w:after="0"/>
      </w:pPr>
      <w:r>
        <w:rPr>
          <w:rFonts w:ascii="Consolas" w:cs="Consolas" w:eastAsia="Consolas" w:hAnsi="Consolas"/>
          <w:sz w:val="17"/>
          <w:szCs w:val="17"/>
        </w:rPr>
        <w:t xml:space="preserve">index=windows_security EventCode=1102</w:t>
      </w:r>
    </w:p>
    <w:p>
      <w:pPr>
        <w:shd w:fill="F2F2F2" w:color="auto" w:val="clear"/>
        <w:spacing w:after="0"/>
      </w:pPr>
      <w:r>
        <w:rPr>
          <w:rFonts w:ascii="Consolas" w:cs="Consolas" w:eastAsia="Consolas" w:hAnsi="Consolas"/>
          <w:sz w:val="17"/>
          <w:szCs w:val="17"/>
        </w:rPr>
        <w:t xml:space="preserve">| table _time Computer SubjectUserName</w:t>
      </w:r>
    </w:p>
    <w:p>
      <w:pPr>
        <w:spacing w:after="60"/>
      </w:pPr>
    </w:p>
    <w:p>
      <w:pPr>
        <w:pStyle w:val="Heading3"/>
        <w:spacing w:after="80" w:before="200"/>
      </w:pPr>
      <w:r>
        <w:rPr>
          <w:rFonts w:ascii="Calibri" w:cs="Calibri" w:eastAsia="Calibri" w:hAnsi="Calibri"/>
        </w:rPr>
        <w:t xml:space="preserve">2. Analysis</w:t>
      </w:r>
    </w:p>
    <w:p>
      <w:pPr>
        <w:pStyle w:val="ListParagraph"/>
        <w:numPr>
          <w:ilvl w:val="0"/>
          <w:numId w:val="2"/>
        </w:numPr>
        <w:spacing w:after="70" w:line="264"/>
      </w:pPr>
      <w:r>
        <w:rPr>
          <w:rFonts w:ascii="Calibri" w:cs="Calibri" w:eastAsia="Calibri" w:hAnsi="Calibri"/>
          <w:sz w:val="22"/>
          <w:szCs w:val="22"/>
        </w:rPr>
        <w:t xml:space="preserve">Rebuild the timeline from the copy of the events already held in Splunk, focusing on the hours before the log was cleared: process creation (Event 4688), logons (Events 4624 and 4648), new accounts (Event 4720) and new services (Event 7045).</w:t>
      </w:r>
    </w:p>
    <w:p>
      <w:pPr>
        <w:pStyle w:val="ListParagraph"/>
        <w:numPr>
          <w:ilvl w:val="0"/>
          <w:numId w:val="2"/>
        </w:numPr>
        <w:spacing w:after="70" w:line="264"/>
      </w:pPr>
      <w:r>
        <w:rPr>
          <w:rFonts w:ascii="Calibri" w:cs="Calibri" w:eastAsia="Calibri" w:hAnsi="Calibri"/>
          <w:sz w:val="22"/>
          <w:szCs w:val="22"/>
        </w:rPr>
        <w:t xml:space="preserve">Identify what the attacker was trying to hide and how they gained the rights needed to clear the log.</w:t>
      </w:r>
    </w:p>
    <w:p>
      <w:pPr>
        <w:shd w:fill="F2F2F2" w:color="auto" w:val="clear"/>
        <w:spacing w:after="0"/>
      </w:pPr>
      <w:r>
        <w:rPr>
          <w:rFonts w:ascii="Consolas" w:cs="Consolas" w:eastAsia="Consolas" w:hAnsi="Consolas"/>
          <w:sz w:val="17"/>
          <w:szCs w:val="17"/>
        </w:rPr>
        <w:t xml:space="preserve">index=windows_security Computer="&lt;host&gt;" earliest=-4h</w:t>
      </w:r>
    </w:p>
    <w:p>
      <w:pPr>
        <w:shd w:fill="F2F2F2" w:color="auto" w:val="clear"/>
        <w:spacing w:after="0"/>
      </w:pPr>
      <w:r>
        <w:rPr>
          <w:rFonts w:ascii="Consolas" w:cs="Consolas" w:eastAsia="Consolas" w:hAnsi="Consolas"/>
          <w:sz w:val="17"/>
          <w:szCs w:val="17"/>
        </w:rPr>
        <w:t xml:space="preserve">  (EventCode=4688 OR EventCode=4624 OR EventCode=4648 OR EventCode=4720 OR EventCode=7045)</w:t>
      </w:r>
    </w:p>
    <w:p>
      <w:pPr>
        <w:shd w:fill="F2F2F2" w:color="auto" w:val="clear"/>
        <w:spacing w:after="0"/>
      </w:pPr>
      <w:r>
        <w:rPr>
          <w:rFonts w:ascii="Consolas" w:cs="Consolas" w:eastAsia="Consolas" w:hAnsi="Consolas"/>
          <w:sz w:val="17"/>
          <w:szCs w:val="17"/>
        </w:rPr>
        <w:t xml:space="preserve">| sort _time | table _time EventCode SubjectUserName TargetUserName CommandLine</w:t>
      </w:r>
    </w:p>
    <w:p>
      <w:pPr>
        <w:spacing w:after="60"/>
      </w:pPr>
    </w:p>
    <w:p>
      <w:pPr>
        <w:pStyle w:val="Heading3"/>
        <w:spacing w:after="80" w:before="200"/>
      </w:pPr>
      <w:r>
        <w:rPr>
          <w:rFonts w:ascii="Calibri" w:cs="Calibri" w:eastAsia="Calibri" w:hAnsi="Calibri"/>
        </w:rPr>
        <w:t xml:space="preserve">3. Containment</w:t>
      </w:r>
    </w:p>
    <w:p>
      <w:pPr>
        <w:pStyle w:val="ListParagraph"/>
        <w:numPr>
          <w:ilvl w:val="0"/>
          <w:numId w:val="2"/>
        </w:numPr>
        <w:spacing w:after="70" w:line="264"/>
      </w:pPr>
      <w:r>
        <w:rPr>
          <w:rFonts w:ascii="Calibri" w:cs="Calibri" w:eastAsia="Calibri" w:hAnsi="Calibri"/>
          <w:sz w:val="22"/>
          <w:szCs w:val="22"/>
        </w:rPr>
        <w:t xml:space="preserve">Isolate the host and disable the account that cleared the log; treat its credentials as compromised.</w:t>
      </w:r>
    </w:p>
    <w:p>
      <w:pPr>
        <w:pStyle w:val="ListParagraph"/>
        <w:numPr>
          <w:ilvl w:val="0"/>
          <w:numId w:val="2"/>
        </w:numPr>
        <w:spacing w:after="70" w:line="264"/>
      </w:pPr>
      <w:r>
        <w:rPr>
          <w:rFonts w:ascii="Calibri" w:cs="Calibri" w:eastAsia="Calibri" w:hAnsi="Calibri"/>
          <w:sz w:val="22"/>
          <w:szCs w:val="22"/>
        </w:rPr>
        <w:t xml:space="preserve">Confirm that log forwarding from the host is still working, since an attacker may also try to stop the forwarder.</w:t>
      </w:r>
    </w:p>
    <w:p>
      <w:pPr>
        <w:pStyle w:val="Heading3"/>
        <w:spacing w:after="80" w:before="200"/>
      </w:pPr>
      <w:r>
        <w:rPr>
          <w:rFonts w:ascii="Calibri" w:cs="Calibri" w:eastAsia="Calibri" w:hAnsi="Calibri"/>
        </w:rPr>
        <w:t xml:space="preserve">4. Eradication and recovery</w:t>
      </w:r>
    </w:p>
    <w:p>
      <w:pPr>
        <w:pStyle w:val="ListParagraph"/>
        <w:numPr>
          <w:ilvl w:val="0"/>
          <w:numId w:val="2"/>
        </w:numPr>
        <w:spacing w:after="70" w:line="264"/>
      </w:pPr>
      <w:r>
        <w:rPr>
          <w:rFonts w:ascii="Calibri" w:cs="Calibri" w:eastAsia="Calibri" w:hAnsi="Calibri"/>
          <w:sz w:val="22"/>
          <w:szCs w:val="22"/>
        </w:rPr>
        <w:t xml:space="preserve">Act on what the timeline reveals, following PB-02 or PB-03 where credential theft or malicious PowerShell is found.</w:t>
      </w:r>
    </w:p>
    <w:p>
      <w:pPr>
        <w:pStyle w:val="ListParagraph"/>
        <w:numPr>
          <w:ilvl w:val="0"/>
          <w:numId w:val="2"/>
        </w:numPr>
        <w:spacing w:after="70" w:line="264"/>
      </w:pPr>
      <w:r>
        <w:rPr>
          <w:rFonts w:ascii="Calibri" w:cs="Calibri" w:eastAsia="Calibri" w:hAnsi="Calibri"/>
          <w:sz w:val="22"/>
          <w:szCs w:val="22"/>
        </w:rPr>
        <w:t xml:space="preserve">Rebuild the host from a known-good image if its integrity cannot be confirmed.</w:t>
      </w:r>
    </w:p>
    <w:p>
      <w:pPr>
        <w:pStyle w:val="Heading3"/>
        <w:spacing w:after="80" w:before="200"/>
      </w:pPr>
      <w:r>
        <w:rPr>
          <w:rFonts w:ascii="Calibri" w:cs="Calibri" w:eastAsia="Calibri" w:hAnsi="Calibri"/>
        </w:rPr>
        <w:t xml:space="preserve">5. Communication and escalation</w:t>
      </w:r>
    </w:p>
    <w:p>
      <w:pPr>
        <w:pStyle w:val="ListParagraph"/>
        <w:numPr>
          <w:ilvl w:val="0"/>
          <w:numId w:val="2"/>
        </w:numPr>
        <w:spacing w:after="70" w:line="264"/>
      </w:pPr>
      <w:r>
        <w:rPr>
          <w:rFonts w:ascii="Calibri" w:cs="Calibri" w:eastAsia="Calibri" w:hAnsi="Calibri"/>
          <w:sz w:val="22"/>
          <w:szCs w:val="22"/>
        </w:rPr>
        <w:t xml:space="preserve">Escalate to the incident manager and CISO immediately, and involve the data protection officer if personal data may have been accessed (ICO, 2024).</w:t>
      </w:r>
    </w:p>
    <w:p>
      <w:pPr>
        <w:pStyle w:val="Heading3"/>
        <w:spacing w:after="80" w:before="200"/>
      </w:pPr>
      <w:r>
        <w:rPr>
          <w:rFonts w:ascii="Calibri" w:cs="Calibri" w:eastAsia="Calibri" w:hAnsi="Calibri"/>
        </w:rPr>
        <w:t xml:space="preserve">6. Evidence to preserve</w:t>
      </w:r>
    </w:p>
    <w:p>
      <w:pPr>
        <w:pStyle w:val="ListParagraph"/>
        <w:numPr>
          <w:ilvl w:val="0"/>
          <w:numId w:val="2"/>
        </w:numPr>
        <w:spacing w:after="70" w:line="264"/>
      </w:pPr>
      <w:r>
        <w:rPr>
          <w:rFonts w:ascii="Calibri" w:cs="Calibri" w:eastAsia="Calibri" w:hAnsi="Calibri"/>
          <w:sz w:val="22"/>
          <w:szCs w:val="22"/>
        </w:rPr>
        <w:t xml:space="preserve">The Event 1102 record, the reconstructed timeline from the SIEM and the change-management check.</w:t>
      </w:r>
    </w:p>
    <w:p>
      <w:pPr>
        <w:pStyle w:val="Heading3"/>
        <w:spacing w:after="80" w:before="200"/>
      </w:pPr>
      <w:r>
        <w:rPr>
          <w:rFonts w:ascii="Calibri" w:cs="Calibri" w:eastAsia="Calibri" w:hAnsi="Calibri"/>
        </w:rPr>
        <w:t xml:space="preserve">7. Lessons learned</w:t>
      </w:r>
    </w:p>
    <w:p>
      <w:pPr>
        <w:pStyle w:val="ListParagraph"/>
        <w:numPr>
          <w:ilvl w:val="0"/>
          <w:numId w:val="2"/>
        </w:numPr>
        <w:spacing w:after="70" w:line="264"/>
      </w:pPr>
      <w:r>
        <w:rPr>
          <w:rFonts w:ascii="Calibri" w:cs="Calibri" w:eastAsia="Calibri" w:hAnsi="Calibri"/>
          <w:sz w:val="22"/>
          <w:szCs w:val="22"/>
        </w:rPr>
        <w:t xml:space="preserve">Restrict the right to clear security logs to a small number of administrators.</w:t>
      </w:r>
    </w:p>
    <w:p>
      <w:pPr>
        <w:pStyle w:val="ListParagraph"/>
        <w:numPr>
          <w:ilvl w:val="0"/>
          <w:numId w:val="2"/>
        </w:numPr>
        <w:spacing w:after="70" w:line="264"/>
      </w:pPr>
      <w:r>
        <w:rPr>
          <w:rFonts w:ascii="Calibri" w:cs="Calibri" w:eastAsia="Calibri" w:hAnsi="Calibri"/>
          <w:sz w:val="22"/>
          <w:szCs w:val="22"/>
        </w:rPr>
        <w:t xml:space="preserve">Implement the collection-health alert in Recommendation R1, so that a forwarder stopped by an attacker is detected as quickly as a cleared log.</w:t>
      </w:r>
    </w:p>
    <w:p>
      <w:pPr>
        <w:pStyle w:val="Heading1"/>
        <w:pageBreakBefore/>
        <w:spacing w:after="160" w:before="120"/>
      </w:pPr>
      <w:r>
        <w:rPr>
          <w:rFonts w:ascii="Calibri" w:cs="Calibri" w:eastAsia="Calibri" w:hAnsi="Calibri"/>
        </w:rPr>
        <w:t xml:space="preserve">D.7 PB-05 Network intrusion or exploit attempt</w:t>
      </w:r>
    </w:p>
    <w:p>
      <w:pPr>
        <w:spacing w:after="140" w:line="276"/>
        <w:jc w:val="both"/>
      </w:pPr>
      <w:r>
        <w:rPr>
          <w:rFonts w:ascii="Calibri" w:cs="Calibri" w:eastAsia="Calibri" w:hAnsi="Calibri"/>
          <w:sz w:val="22"/>
          <w:szCs w:val="22"/>
        </w:rPr>
        <w:t xml:space="preserve">Use this playbook when Suricata raises an alert for known-malicious traffic or for a signature matching a published vulnerability. The project showed that a signature match means traffic resembles an attack, not that an attack succeeded: 22 matches for a Splunk vulnerability were caused by the lab's own management traffic. Triage against asset context is therefore the most important step.</w:t>
      </w:r>
    </w:p>
    <w:p>
      <w:pPr>
        <w:keepNext/>
        <w:spacing w:after="0" w:before="200"/>
      </w:pPr>
      <w:r>
        <w:rPr>
          <w:rFonts w:ascii="Calibri" w:cs="Calibri" w:eastAsia="Calibri" w:hAnsi="Calibri"/>
          <w:b/>
          <w:bCs/>
          <w:sz w:val="22"/>
          <w:szCs w:val="22"/>
        </w:rPr>
        <w:t xml:space="preserve">Table D7</w:t>
      </w:r>
    </w:p>
    <w:p>
      <w:pPr>
        <w:keepNext/>
        <w:spacing w:after="100"/>
      </w:pPr>
      <w:r>
        <w:rPr>
          <w:rFonts w:ascii="Calibri" w:cs="Calibri" w:eastAsia="Calibri" w:hAnsi="Calibri"/>
          <w:i/>
          <w:iCs/>
          <w:sz w:val="22"/>
          <w:szCs w:val="22"/>
        </w:rPr>
        <w:t xml:space="preserve">PB-05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Rule 15, Suricata network intrusion; Rule 16, Suricata known CVE or exploit</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MITRE ATT&amp;CK</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T1190 Exploit Public-Facing Application, or the technique indicated by the signature</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Default severity</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High; Critical if the target runs the vulnerable software and there are signs of success</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Data sources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Suricata alerts (index suricata); endpoint events from the target host for the same period</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Dashboard panels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Network IDS Alerts tile; Network IDS – Top Signatures</w:t>
            </w:r>
          </w:p>
        </w:tc>
      </w:tr>
      <w:tr>
        <w:trPr>
          <w:cantSplit/>
          <w:tblHeader w:val="false"/>
        </w:trPr>
        <w:tc>
          <w:tcPr>
            <w:tcW w:type="dxa" w:w="2400"/>
            <w:tcBorders>
              <w:top w:val="single" w:color="B7C4D6" w:sz="4"/>
              <w:left w:val="single" w:color="B7C4D6" w:sz="4"/>
              <w:bottom w:val="single" w:color="B7C4D6" w:sz="4"/>
              <w:right w:val="single" w:color="B7C4D6" w:sz="4"/>
            </w:tcBorders>
            <w:shd w:fill="E8EEF6" w:color="auto" w:val="clear"/>
            <w:tcMar>
              <w:top w:type="dxa" w:w="60"/>
              <w:left w:type="dxa" w:w="100"/>
              <w:bottom w:type="dxa" w:w="60"/>
              <w:right w:type="dxa" w:w="100"/>
            </w:tcMar>
          </w:tcPr>
          <w:p>
            <w:r>
              <w:rPr>
                <w:rFonts w:ascii="Calibri" w:cs="Calibri" w:eastAsia="Calibri" w:hAnsi="Calibri"/>
                <w:b/>
                <w:bCs/>
                <w:sz w:val="19"/>
                <w:szCs w:val="19"/>
              </w:rPr>
              <w:t xml:space="preserve">Validation status</w:t>
            </w:r>
          </w:p>
        </w:tc>
        <w:tc>
          <w:tcPr>
            <w:tcW w:type="dxa" w:w="66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b w:val="false"/>
                <w:bCs w:val="false"/>
                <w:sz w:val="19"/>
                <w:szCs w:val="19"/>
              </w:rPr>
              <w:t xml:space="preserve">A test using a known-malicious user agent was detected. The 22 matches for CVE-2018-11409 were triaged as false positives caused by legitimate management traffic, demonstrating the analysis step of this playbook.</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D7 summarises the trigger, technique, severity, data sources and validation status for PB-05. CVE = Common Vulnerabilities and Exposures; IDS = intrusion detection system.</w:t>
      </w:r>
    </w:p>
    <w:p>
      <w:pPr>
        <w:pStyle w:val="Heading3"/>
        <w:spacing w:after="80" w:before="200"/>
      </w:pPr>
      <w:r>
        <w:rPr>
          <w:rFonts w:ascii="Calibri" w:cs="Calibri" w:eastAsia="Calibri" w:hAnsi="Calibri"/>
        </w:rPr>
        <w:t xml:space="preserve">1. Trigger and triage</w:t>
      </w:r>
    </w:p>
    <w:p>
      <w:pPr>
        <w:pStyle w:val="ListParagraph"/>
        <w:numPr>
          <w:ilvl w:val="0"/>
          <w:numId w:val="2"/>
        </w:numPr>
        <w:spacing w:after="70" w:line="264"/>
      </w:pPr>
      <w:r>
        <w:rPr>
          <w:rFonts w:ascii="Calibri" w:cs="Calibri" w:eastAsia="Calibri" w:hAnsi="Calibri"/>
          <w:sz w:val="22"/>
          <w:szCs w:val="22"/>
        </w:rPr>
        <w:t xml:space="preserve">Identify the signature, the source and destination addresses and ports, and how often it has fired.</w:t>
      </w:r>
    </w:p>
    <w:p>
      <w:pPr>
        <w:shd w:fill="F2F2F2" w:color="auto" w:val="clear"/>
        <w:spacing w:after="0"/>
      </w:pPr>
      <w:r>
        <w:rPr>
          <w:rFonts w:ascii="Consolas" w:cs="Consolas" w:eastAsia="Consolas" w:hAnsi="Consolas"/>
          <w:sz w:val="17"/>
          <w:szCs w:val="17"/>
        </w:rPr>
        <w:t xml:space="preserve">index=suricata event_type=alert</w:t>
      </w:r>
    </w:p>
    <w:p>
      <w:pPr>
        <w:shd w:fill="F2F2F2" w:color="auto" w:val="clear"/>
        <w:spacing w:after="0"/>
      </w:pPr>
      <w:r>
        <w:rPr>
          <w:rFonts w:ascii="Consolas" w:cs="Consolas" w:eastAsia="Consolas" w:hAnsi="Consolas"/>
          <w:sz w:val="17"/>
          <w:szCs w:val="17"/>
        </w:rPr>
        <w:t xml:space="preserve">| spath "alert.signature" | spath "alert.severity"</w:t>
      </w:r>
    </w:p>
    <w:p>
      <w:pPr>
        <w:shd w:fill="F2F2F2" w:color="auto" w:val="clear"/>
        <w:spacing w:after="0"/>
      </w:pPr>
      <w:r>
        <w:rPr>
          <w:rFonts w:ascii="Consolas" w:cs="Consolas" w:eastAsia="Consolas" w:hAnsi="Consolas"/>
          <w:sz w:val="17"/>
          <w:szCs w:val="17"/>
        </w:rPr>
        <w:t xml:space="preserve">| stats count BY "alert.signature", src_ip, dest_ip, dest_port</w:t>
      </w:r>
    </w:p>
    <w:p>
      <w:pPr>
        <w:shd w:fill="F2F2F2" w:color="auto" w:val="clear"/>
        <w:spacing w:after="0"/>
      </w:pPr>
      <w:r>
        <w:rPr>
          <w:rFonts w:ascii="Consolas" w:cs="Consolas" w:eastAsia="Consolas" w:hAnsi="Consolas"/>
          <w:sz w:val="17"/>
          <w:szCs w:val="17"/>
        </w:rPr>
        <w:t xml:space="preserve">| sort - count</w:t>
      </w:r>
    </w:p>
    <w:p>
      <w:pPr>
        <w:spacing w:after="60"/>
      </w:pPr>
    </w:p>
    <w:p>
      <w:pPr>
        <w:pStyle w:val="Heading3"/>
        <w:spacing w:after="80" w:before="200"/>
      </w:pPr>
      <w:r>
        <w:rPr>
          <w:rFonts w:ascii="Calibri" w:cs="Calibri" w:eastAsia="Calibri" w:hAnsi="Calibri"/>
        </w:rPr>
        <w:t xml:space="preserve">2. Analysis</w:t>
      </w:r>
    </w:p>
    <w:p>
      <w:pPr>
        <w:pStyle w:val="ListParagraph"/>
        <w:numPr>
          <w:ilvl w:val="0"/>
          <w:numId w:val="2"/>
        </w:numPr>
        <w:spacing w:after="70" w:line="264"/>
      </w:pPr>
      <w:r>
        <w:rPr>
          <w:rFonts w:ascii="Calibri" w:cs="Calibri" w:eastAsia="Calibri" w:hAnsi="Calibri"/>
          <w:b/>
          <w:bCs/>
          <w:sz w:val="22"/>
          <w:szCs w:val="22"/>
        </w:rPr>
        <w:t xml:space="preserve">Is the target vulnerable?</w:t>
      </w:r>
      <w:r>
        <w:rPr>
          <w:rFonts w:ascii="Calibri" w:cs="Calibri" w:eastAsia="Calibri" w:hAnsi="Calibri"/>
          <w:sz w:val="22"/>
          <w:szCs w:val="22"/>
        </w:rPr>
        <w:t xml:space="preserve"> Check whether the destination actually runs the software and version named in the signature. If it does not, the attempt cannot have succeeded.</w:t>
      </w:r>
    </w:p>
    <w:p>
      <w:pPr>
        <w:pStyle w:val="ListParagraph"/>
        <w:numPr>
          <w:ilvl w:val="0"/>
          <w:numId w:val="2"/>
        </w:numPr>
        <w:spacing w:after="70" w:line="264"/>
      </w:pPr>
      <w:r>
        <w:rPr>
          <w:rFonts w:ascii="Calibri" w:cs="Calibri" w:eastAsia="Calibri" w:hAnsi="Calibri"/>
          <w:b/>
          <w:bCs/>
          <w:sz w:val="22"/>
          <w:szCs w:val="22"/>
        </w:rPr>
        <w:t xml:space="preserve">Who is the source?</w:t>
      </w:r>
      <w:r>
        <w:rPr>
          <w:rFonts w:ascii="Calibri" w:cs="Calibri" w:eastAsia="Calibri" w:hAnsi="Calibri"/>
          <w:sz w:val="22"/>
          <w:szCs w:val="22"/>
        </w:rPr>
        <w:t xml:space="preserve"> An internal administrative workstation suggests a false positive; an unknown external address suggests a genuine attempt.</w:t>
      </w:r>
    </w:p>
    <w:p>
      <w:pPr>
        <w:pStyle w:val="ListParagraph"/>
        <w:numPr>
          <w:ilvl w:val="0"/>
          <w:numId w:val="2"/>
        </w:numPr>
        <w:spacing w:after="70" w:line="264"/>
      </w:pPr>
      <w:r>
        <w:rPr>
          <w:rFonts w:ascii="Calibri" w:cs="Calibri" w:eastAsia="Calibri" w:hAnsi="Calibri"/>
          <w:b/>
          <w:bCs/>
          <w:sz w:val="22"/>
          <w:szCs w:val="22"/>
        </w:rPr>
        <w:t xml:space="preserve">Did it work?</w:t>
      </w:r>
      <w:r>
        <w:rPr>
          <w:rFonts w:ascii="Calibri" w:cs="Calibri" w:eastAsia="Calibri" w:hAnsi="Calibri"/>
          <w:sz w:val="22"/>
          <w:szCs w:val="22"/>
        </w:rPr>
        <w:t xml:space="preserve"> Look for signs of success, such as unusual responses from the target or new processes, accounts or connections on the target host in the endpoint logs for the same period.</w:t>
      </w:r>
    </w:p>
    <w:p>
      <w:pPr>
        <w:pStyle w:val="Heading3"/>
        <w:spacing w:after="80" w:before="200"/>
      </w:pPr>
      <w:r>
        <w:rPr>
          <w:rFonts w:ascii="Calibri" w:cs="Calibri" w:eastAsia="Calibri" w:hAnsi="Calibri"/>
        </w:rPr>
        <w:t xml:space="preserve">3. Containment</w:t>
      </w:r>
    </w:p>
    <w:p>
      <w:pPr>
        <w:pStyle w:val="ListParagraph"/>
        <w:numPr>
          <w:ilvl w:val="0"/>
          <w:numId w:val="2"/>
        </w:numPr>
        <w:spacing w:after="70" w:line="264"/>
      </w:pPr>
      <w:r>
        <w:rPr>
          <w:rFonts w:ascii="Calibri" w:cs="Calibri" w:eastAsia="Calibri" w:hAnsi="Calibri"/>
          <w:sz w:val="22"/>
          <w:szCs w:val="22"/>
        </w:rPr>
        <w:t xml:space="preserve">If the attempt is genuine, block the source at the firewall.</w:t>
      </w:r>
    </w:p>
    <w:p>
      <w:pPr>
        <w:pStyle w:val="ListParagraph"/>
        <w:numPr>
          <w:ilvl w:val="0"/>
          <w:numId w:val="2"/>
        </w:numPr>
        <w:spacing w:after="70" w:line="264"/>
      </w:pPr>
      <w:r>
        <w:rPr>
          <w:rFonts w:ascii="Calibri" w:cs="Calibri" w:eastAsia="Calibri" w:hAnsi="Calibri"/>
          <w:sz w:val="22"/>
          <w:szCs w:val="22"/>
        </w:rPr>
        <w:t xml:space="preserve">If exploitation may have succeeded, isolate the target host and continue under PB-03 or PB-02 as appropriate.</w:t>
      </w:r>
    </w:p>
    <w:p>
      <w:pPr>
        <w:pStyle w:val="Heading3"/>
        <w:spacing w:after="80" w:before="200"/>
      </w:pPr>
      <w:r>
        <w:rPr>
          <w:rFonts w:ascii="Calibri" w:cs="Calibri" w:eastAsia="Calibri" w:hAnsi="Calibri"/>
        </w:rPr>
        <w:t xml:space="preserve">4. Eradication and recovery</w:t>
      </w:r>
    </w:p>
    <w:p>
      <w:pPr>
        <w:pStyle w:val="ListParagraph"/>
        <w:numPr>
          <w:ilvl w:val="0"/>
          <w:numId w:val="2"/>
        </w:numPr>
        <w:spacing w:after="70" w:line="264"/>
      </w:pPr>
      <w:r>
        <w:rPr>
          <w:rFonts w:ascii="Calibri" w:cs="Calibri" w:eastAsia="Calibri" w:hAnsi="Calibri"/>
          <w:sz w:val="22"/>
          <w:szCs w:val="22"/>
        </w:rPr>
        <w:t xml:space="preserve">Patch or upgrade the vulnerable software, or apply the vendor's mitigation if no patch is available.</w:t>
      </w:r>
    </w:p>
    <w:p>
      <w:pPr>
        <w:pStyle w:val="ListParagraph"/>
        <w:numPr>
          <w:ilvl w:val="0"/>
          <w:numId w:val="2"/>
        </w:numPr>
        <w:spacing w:after="70" w:line="264"/>
      </w:pPr>
      <w:r>
        <w:rPr>
          <w:rFonts w:ascii="Calibri" w:cs="Calibri" w:eastAsia="Calibri" w:hAnsi="Calibri"/>
          <w:sz w:val="22"/>
          <w:szCs w:val="22"/>
        </w:rPr>
        <w:t xml:space="preserve">If the host was compromised, rebuild it from a known-good image and verify the integrity of its data.</w:t>
      </w:r>
    </w:p>
    <w:p>
      <w:pPr>
        <w:pStyle w:val="Heading3"/>
        <w:spacing w:after="80" w:before="200"/>
      </w:pPr>
      <w:r>
        <w:rPr>
          <w:rFonts w:ascii="Calibri" w:cs="Calibri" w:eastAsia="Calibri" w:hAnsi="Calibri"/>
        </w:rPr>
        <w:t xml:space="preserve">5. Communication and escalation</w:t>
      </w:r>
    </w:p>
    <w:p>
      <w:pPr>
        <w:pStyle w:val="ListParagraph"/>
        <w:numPr>
          <w:ilvl w:val="0"/>
          <w:numId w:val="2"/>
        </w:numPr>
        <w:spacing w:after="70" w:line="264"/>
      </w:pPr>
      <w:r>
        <w:rPr>
          <w:rFonts w:ascii="Calibri" w:cs="Calibri" w:eastAsia="Calibri" w:hAnsi="Calibri"/>
          <w:sz w:val="22"/>
          <w:szCs w:val="22"/>
        </w:rPr>
        <w:t xml:space="preserve">High: inform the incident manager within the target time; escalate to Critical if exploitation is confirmed.</w:t>
      </w:r>
    </w:p>
    <w:p>
      <w:pPr>
        <w:pStyle w:val="ListParagraph"/>
        <w:numPr>
          <w:ilvl w:val="0"/>
          <w:numId w:val="2"/>
        </w:numPr>
        <w:spacing w:after="70" w:line="264"/>
      </w:pPr>
      <w:r>
        <w:rPr>
          <w:rFonts w:ascii="Calibri" w:cs="Calibri" w:eastAsia="Calibri" w:hAnsi="Calibri"/>
          <w:sz w:val="22"/>
          <w:szCs w:val="22"/>
        </w:rPr>
        <w:t xml:space="preserve">Inform the asset owner of any vulnerable system so that patching can be prioritised, and involve the data protection officer if personal data may be affected (ICO, 2024).</w:t>
      </w:r>
    </w:p>
    <w:p>
      <w:pPr>
        <w:pStyle w:val="Heading3"/>
        <w:spacing w:after="80" w:before="200"/>
      </w:pPr>
      <w:r>
        <w:rPr>
          <w:rFonts w:ascii="Calibri" w:cs="Calibri" w:eastAsia="Calibri" w:hAnsi="Calibri"/>
        </w:rPr>
        <w:t xml:space="preserve">6. Evidence to preserve</w:t>
      </w:r>
    </w:p>
    <w:p>
      <w:pPr>
        <w:pStyle w:val="ListParagraph"/>
        <w:numPr>
          <w:ilvl w:val="0"/>
          <w:numId w:val="2"/>
        </w:numPr>
        <w:spacing w:after="70" w:line="264"/>
      </w:pPr>
      <w:r>
        <w:rPr>
          <w:rFonts w:ascii="Calibri" w:cs="Calibri" w:eastAsia="Calibri" w:hAnsi="Calibri"/>
          <w:sz w:val="22"/>
          <w:szCs w:val="22"/>
        </w:rPr>
        <w:t xml:space="preserve">The Suricata alert records (including the full EVE JSON), the asset and version check, and any related endpoint events.</w:t>
      </w:r>
    </w:p>
    <w:p>
      <w:pPr>
        <w:pStyle w:val="Heading3"/>
        <w:spacing w:after="80" w:before="200"/>
      </w:pPr>
      <w:r>
        <w:rPr>
          <w:rFonts w:ascii="Calibri" w:cs="Calibri" w:eastAsia="Calibri" w:hAnsi="Calibri"/>
        </w:rPr>
        <w:t xml:space="preserve">7. Lessons learned</w:t>
      </w:r>
    </w:p>
    <w:p>
      <w:pPr>
        <w:pStyle w:val="ListParagraph"/>
        <w:numPr>
          <w:ilvl w:val="0"/>
          <w:numId w:val="2"/>
        </w:numPr>
        <w:spacing w:after="70" w:line="264"/>
      </w:pPr>
      <w:r>
        <w:rPr>
          <w:rFonts w:ascii="Calibri" w:cs="Calibri" w:eastAsia="Calibri" w:hAnsi="Calibri"/>
          <w:sz w:val="22"/>
          <w:szCs w:val="22"/>
        </w:rPr>
        <w:t xml:space="preserve">For confirmed false positives, add a narrowly scoped suppression (a specific signature from a specific source) with a written justification and review date, rather than disabling the signature.</w:t>
      </w:r>
    </w:p>
    <w:p>
      <w:pPr>
        <w:pStyle w:val="ListParagraph"/>
        <w:numPr>
          <w:ilvl w:val="0"/>
          <w:numId w:val="2"/>
        </w:numPr>
        <w:spacing w:after="70" w:line="264"/>
      </w:pPr>
      <w:r>
        <w:rPr>
          <w:rFonts w:ascii="Calibri" w:cs="Calibri" w:eastAsia="Calibri" w:hAnsi="Calibri"/>
          <w:sz w:val="22"/>
          <w:szCs w:val="22"/>
        </w:rPr>
        <w:t xml:space="preserve">Enrich network alerts with asset information so that analysts can see immediately whether a target is vulnerable.</w:t>
      </w:r>
    </w:p>
    <w:p>
      <w:pPr>
        <w:pStyle w:val="Heading1"/>
        <w:pageBreakBefore/>
        <w:spacing w:after="160" w:before="120"/>
      </w:pPr>
      <w:r>
        <w:rPr>
          <w:rFonts w:ascii="Calibri" w:cs="Calibri" w:eastAsia="Calibri" w:hAnsi="Calibri"/>
        </w:rPr>
        <w:t xml:space="preserve">D.8 Validation summary and maintenance</w:t>
      </w:r>
    </w:p>
    <w:p>
      <w:pPr>
        <w:spacing w:after="140" w:line="276"/>
        <w:jc w:val="both"/>
      </w:pPr>
      <w:r>
        <w:rPr>
          <w:rFonts w:ascii="Calibri" w:cs="Calibri" w:eastAsia="Calibri" w:hAnsi="Calibri"/>
          <w:sz w:val="22"/>
          <w:szCs w:val="22"/>
        </w:rPr>
        <w:t xml:space="preserve">Table D8 summarises how far each playbook's detection has been tested. A playbook is only as reliable as the detection that triggers it, so the untested items form part of the continuous validation programme in Recommendation R3.</w:t>
      </w:r>
    </w:p>
    <w:p>
      <w:pPr>
        <w:keepNext/>
        <w:spacing w:after="0" w:before="200"/>
      </w:pPr>
      <w:r>
        <w:rPr>
          <w:rFonts w:ascii="Calibri" w:cs="Calibri" w:eastAsia="Calibri" w:hAnsi="Calibri"/>
          <w:b/>
          <w:bCs/>
          <w:sz w:val="22"/>
          <w:szCs w:val="22"/>
        </w:rPr>
        <w:t xml:space="preserve">Table D8</w:t>
      </w:r>
    </w:p>
    <w:p>
      <w:pPr>
        <w:keepNext/>
        <w:spacing w:after="100"/>
      </w:pPr>
      <w:r>
        <w:rPr>
          <w:rFonts w:ascii="Calibri" w:cs="Calibri" w:eastAsia="Calibri" w:hAnsi="Calibri"/>
          <w:i/>
          <w:iCs/>
          <w:sz w:val="22"/>
          <w:szCs w:val="22"/>
        </w:rPr>
        <w:t xml:space="preserve">Validation Status of the Playbook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200"/>
        <w:gridCol w:w="3726"/>
      </w:tblGrid>
      <w:tr>
        <w:trPr>
          <w:cantSplit/>
          <w:tblHeader/>
        </w:trPr>
        <w:tc>
          <w:tcPr>
            <w:tcW w:type="dxa" w:w="20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Playbook</w:t>
            </w:r>
          </w:p>
        </w:tc>
        <w:tc>
          <w:tcPr>
            <w:tcW w:type="dxa" w:w="21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Trigger rule(s)</w:t>
            </w:r>
          </w:p>
        </w:tc>
        <w:tc>
          <w:tcPr>
            <w:tcW w:type="dxa" w:w="1200"/>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Validated?</w:t>
            </w:r>
          </w:p>
        </w:tc>
        <w:tc>
          <w:tcPr>
            <w:tcW w:type="dxa" w:w="3726"/>
            <w:tcBorders>
              <w:top w:val="single" w:color="B7C4D6" w:sz="4"/>
              <w:left w:val="single" w:color="B7C4D6" w:sz="4"/>
              <w:bottom w:val="single" w:color="B7C4D6" w:sz="4"/>
              <w:right w:val="single" w:color="B7C4D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Evidence</w:t>
            </w:r>
          </w:p>
        </w:tc>
      </w:tr>
      <w:tr>
        <w:trPr>
          <w:cantSplit/>
          <w:tblHeader w:val="false"/>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PB-01 Brute force</w:t>
            </w:r>
          </w:p>
        </w:tc>
        <w:tc>
          <w:tcPr>
            <w:tcW w:type="dxa" w:w="21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Rule 2; Sentinel RDP rule</w:t>
            </w:r>
          </w:p>
        </w:tc>
        <w:tc>
          <w:tcPr>
            <w:tcW w:type="dxa" w:w="12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Partly</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Real attacks on the honeypot (Section 3.7); on-premises Atomic test planned</w:t>
            </w:r>
          </w:p>
        </w:tc>
      </w:tr>
      <w:tr>
        <w:trPr>
          <w:cantSplit/>
          <w:tblHeader w:val="false"/>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PB-02 LSASS dumping</w:t>
            </w:r>
          </w:p>
        </w:tc>
        <w:tc>
          <w:tcPr>
            <w:tcW w:type="dxa" w:w="21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Rules 9 and 12</w:t>
            </w:r>
          </w:p>
        </w:tc>
        <w:tc>
          <w:tcPr>
            <w:tcW w:type="dxa" w:w="12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Partly</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Atomic T1003.001-2 blocked by Defender and logged (Table 5.1)</w:t>
            </w:r>
          </w:p>
        </w:tc>
      </w:tr>
      <w:tr>
        <w:trPr>
          <w:cantSplit/>
          <w:tblHeader w:val="false"/>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PB-03 PowerShell</w:t>
            </w:r>
          </w:p>
        </w:tc>
        <w:tc>
          <w:tcPr>
            <w:tcW w:type="dxa" w:w="21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Rules 1 and 14</w:t>
            </w:r>
          </w:p>
        </w:tc>
        <w:tc>
          <w:tcPr>
            <w:tcW w:type="dxa" w:w="12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Yes</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Atomic T1059.001-17 detected (Table 5.1)</w:t>
            </w:r>
          </w:p>
        </w:tc>
      </w:tr>
      <w:tr>
        <w:trPr>
          <w:cantSplit/>
          <w:tblHeader w:val="false"/>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PB-04 Log cleared</w:t>
            </w:r>
          </w:p>
        </w:tc>
        <w:tc>
          <w:tcPr>
            <w:tcW w:type="dxa" w:w="21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Rule 5</w:t>
            </w:r>
          </w:p>
        </w:tc>
        <w:tc>
          <w:tcPr>
            <w:tcW w:type="dxa" w:w="12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No</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Atomic T1070.001 planned</w:t>
            </w:r>
          </w:p>
        </w:tc>
      </w:tr>
      <w:tr>
        <w:trPr>
          <w:cantSplit/>
          <w:tblHeader w:val="false"/>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PB-05 Network intrusion</w:t>
            </w:r>
          </w:p>
        </w:tc>
        <w:tc>
          <w:tcPr>
            <w:tcW w:type="dxa" w:w="21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Rules 15 and 16</w:t>
            </w:r>
          </w:p>
        </w:tc>
        <w:tc>
          <w:tcPr>
            <w:tcW w:type="dxa" w:w="1200"/>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Yes</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r>
              <w:rPr>
                <w:rFonts w:ascii="Calibri" w:cs="Calibri" w:eastAsia="Calibri" w:hAnsi="Calibri"/>
                <w:sz w:val="19"/>
                <w:szCs w:val="19"/>
              </w:rPr>
              <w:t xml:space="preserve">Malicious user-agent test detected; CVE matches triaged (Section 3.5)</w:t>
            </w:r>
          </w:p>
        </w:tc>
      </w:tr>
    </w:tbl>
    <w:p>
      <w:pPr>
        <w:spacing w:after="220" w:before="80" w:line="252"/>
      </w:pPr>
      <w:r>
        <w:rPr>
          <w:rFonts w:ascii="Calibri" w:cs="Calibri" w:eastAsia="Calibri" w:hAnsi="Calibri"/>
          <w:i/>
          <w:iCs/>
          <w:sz w:val="20"/>
          <w:szCs w:val="20"/>
        </w:rPr>
        <w:t xml:space="preserve">Note.</w:t>
      </w:r>
      <w:r>
        <w:rPr>
          <w:rFonts w:ascii="Calibri" w:cs="Calibri" w:eastAsia="Calibri" w:hAnsi="Calibri"/>
          <w:sz w:val="20"/>
          <w:szCs w:val="20"/>
        </w:rPr>
        <w:t xml:space="preserve"> Table D8 shows whether the detection behind each playbook has been tested and where the evidence is reported. "Partly" means the detection path has been exercised but not every rule in it has been validated. CVE = Common Vulnerabilities and Exposures; LSASS = Local Security Authority Subsystem Service; RDP = Remote Desktop Protocol.</w:t>
      </w:r>
    </w:p>
    <w:p>
      <w:pPr>
        <w:spacing w:after="140" w:line="276"/>
        <w:jc w:val="both"/>
      </w:pPr>
      <w:r>
        <w:rPr>
          <w:rFonts w:ascii="Calibri" w:cs="Calibri" w:eastAsia="Calibri" w:hAnsi="Calibri"/>
          <w:sz w:val="22"/>
          <w:szCs w:val="22"/>
        </w:rPr>
        <w:t xml:space="preserve">The playbooks should be reviewed after every significant incident, after any change to the detection rules they reference, and at least every six months. Before adoption, each should be rehearsed in a tabletop exercise with the people named in the roles above, so that gaps are found in practice rather than during a live incident.</w:t>
      </w:r>
    </w:p>
    <w:p>
      <w:pPr>
        <w:pStyle w:val="Heading1"/>
        <w:spacing w:after="160" w:before="120"/>
      </w:pPr>
      <w:r>
        <w:rPr>
          <w:rFonts w:ascii="Calibri" w:cs="Calibri" w:eastAsia="Calibri" w:hAnsi="Calibri"/>
        </w:rPr>
        <w:t xml:space="preserve">References</w:t>
      </w:r>
    </w:p>
    <w:p>
      <w:pPr>
        <w:spacing w:after="140" w:line="276"/>
        <w:ind w:left="720" w:hanging="720"/>
      </w:pPr>
      <w:r>
        <w:rPr>
          <w:rFonts w:ascii="Calibri" w:cs="Calibri" w:eastAsia="Calibri" w:hAnsi="Calibri"/>
          <w:sz w:val="22"/>
          <w:szCs w:val="22"/>
        </w:rPr>
        <w:t xml:space="preserve">Information Commissioner's Office. (2024). </w:t>
      </w:r>
      <w:r>
        <w:rPr>
          <w:rFonts w:ascii="Calibri" w:cs="Calibri" w:eastAsia="Calibri" w:hAnsi="Calibri"/>
          <w:i/>
          <w:iCs/>
          <w:sz w:val="22"/>
          <w:szCs w:val="22"/>
        </w:rPr>
        <w:t xml:space="preserve">Guide to the UK General Data Protection Regulation</w:t>
      </w:r>
      <w:r>
        <w:rPr>
          <w:rFonts w:ascii="Calibri" w:cs="Calibri" w:eastAsia="Calibri" w:hAnsi="Calibri"/>
          <w:sz w:val="22"/>
          <w:szCs w:val="22"/>
        </w:rPr>
        <w:t xml:space="preserve">. https://ico.org.uk/for-organisations/guide-to-data-protection/</w:t>
      </w:r>
    </w:p>
    <w:p>
      <w:pPr>
        <w:spacing w:after="140" w:line="276"/>
        <w:ind w:left="720" w:hanging="720"/>
      </w:pPr>
      <w:r>
        <w:rPr>
          <w:rFonts w:ascii="Calibri" w:cs="Calibri" w:eastAsia="Calibri" w:hAnsi="Calibri"/>
          <w:sz w:val="22"/>
          <w:szCs w:val="22"/>
        </w:rPr>
        <w:t xml:space="preserve">MITRE. (n.d.). </w:t>
      </w:r>
      <w:r>
        <w:rPr>
          <w:rFonts w:ascii="Calibri" w:cs="Calibri" w:eastAsia="Calibri" w:hAnsi="Calibri"/>
          <w:i/>
          <w:iCs/>
          <w:sz w:val="22"/>
          <w:szCs w:val="22"/>
        </w:rPr>
        <w:t xml:space="preserve">MITRE ATT&amp;CK</w:t>
      </w:r>
      <w:r>
        <w:rPr>
          <w:rFonts w:ascii="Calibri" w:cs="Calibri" w:eastAsia="Calibri" w:hAnsi="Calibri"/>
          <w:sz w:val="22"/>
          <w:szCs w:val="22"/>
        </w:rPr>
        <w:t xml:space="preserve">. The MITRE Corporation. Retrieved October 6, 2026, from https://attack.mitre.org/</w:t>
      </w:r>
    </w:p>
    <w:p>
      <w:pPr>
        <w:spacing w:after="140" w:line="276"/>
        <w:ind w:left="720" w:hanging="720"/>
      </w:pPr>
      <w:r>
        <w:rPr>
          <w:rFonts w:ascii="Calibri" w:cs="Calibri" w:eastAsia="Calibri" w:hAnsi="Calibri"/>
          <w:sz w:val="22"/>
          <w:szCs w:val="22"/>
        </w:rPr>
        <w:t xml:space="preserve">Nelson, A., Rekhi, S., Souppaya, M., &amp; Scarfone, K. (2025). </w:t>
      </w:r>
      <w:r>
        <w:rPr>
          <w:rFonts w:ascii="Calibri" w:cs="Calibri" w:eastAsia="Calibri" w:hAnsi="Calibri"/>
          <w:i/>
          <w:iCs/>
          <w:sz w:val="22"/>
          <w:szCs w:val="22"/>
        </w:rPr>
        <w:t xml:space="preserve">Incident response recommendations and considerations for cybersecurity risk management: A CSF 2.0 community profile</w:t>
      </w:r>
      <w:r>
        <w:rPr>
          <w:rFonts w:ascii="Calibri" w:cs="Calibri" w:eastAsia="Calibri" w:hAnsi="Calibri"/>
          <w:sz w:val="22"/>
          <w:szCs w:val="22"/>
        </w:rPr>
        <w:t xml:space="preserve"> (NIST Special Publication 800-61r3). National Institute of Standards and Technology. https://doi.org/10.6028/NIST.SP.800-61r3</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Appendix D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4B5"/>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Playbooks</dc:title>
  <dc:creator>MSc Cybersecurity student</dc:creator>
  <cp:lastModifiedBy>Un-named</cp:lastModifiedBy>
  <cp:revision>1</cp:revision>
  <dcterms:created xsi:type="dcterms:W3CDTF">2026-10-07T14:33:29.075Z</dcterms:created>
  <dcterms:modified xsi:type="dcterms:W3CDTF">2026-10-07T14:33:29.091Z</dcterms:modified>
</cp:coreProperties>
</file>

<file path=docProps/custom.xml><?xml version="1.0" encoding="utf-8"?>
<Properties xmlns="http://schemas.openxmlformats.org/officeDocument/2006/custom-properties" xmlns:vt="http://schemas.openxmlformats.org/officeDocument/2006/docPropsVTypes"/>
</file>