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Shelfwise — Demand Forecasting &amp; Real Data</w:t>
      </w:r>
    </w:p>
    <w:p>
      <w:pPr>
        <w:spacing w:after="40"/>
      </w:pPr>
      <w:r>
        <w:rPr>
          <w:color w:val="555555"/>
          <w:sz w:val="24"/>
          <w:szCs w:val="24"/>
        </w:rPr>
        <w:t xml:space="preserve">How the time-series models work, why each was chosen, what the software computes, and where the demo data comes from</w:t>
      </w:r>
    </w:p>
    <w:p>
      <w:pPr>
        <w:pBdr>
          <w:bottom w:val="single" w:color="0F7470" w:sz="8" w:space="4"/>
        </w:pBdr>
        <w:spacing w:after="240"/>
      </w:pPr>
      <w:r>
        <w:rPr>
          <w:color w:val="888888"/>
          <w:sz w:val="20"/>
          <w:szCs w:val="20"/>
        </w:rPr>
        <w:t xml:space="preserve">July 2026</w:t>
      </w:r>
    </w:p>
    <w:p>
      <w:pPr>
        <w:pStyle w:val="Heading1"/>
      </w:pPr>
      <w:r>
        <w:t xml:space="preserve">1. How forecasting is implemented</w:t>
      </w:r>
    </w:p>
    <w:p>
      <w:pPr>
        <w:spacing w:after="120"/>
      </w:pPr>
      <w:r>
        <w:t xml:space="preserve">Every number on screen starts from one source of truth: the immutable stock-movement ledger. Forecasting is a pipeline on top of it: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Laravel turns each product’s ledger into a </w:t>
      </w:r>
      <w:r>
        <w:rPr>
          <w:b/>
          <w:bCs/>
        </w:rPr>
        <w:t xml:space="preserve">daily sales series</w:t>
      </w:r>
      <w:r>
        <w:t xml:space="preserve"> — units sold per calendar day, zeros included, up to two years, ending yesterday.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series are sent to the </w:t>
      </w:r>
      <w:r>
        <w:rPr>
          <w:b/>
          <w:bCs/>
        </w:rPr>
        <w:t xml:space="preserve">Python forecasting sidecar</w:t>
      </w:r>
      <w:r>
        <w:t xml:space="preserve">, which picks the right statistical model per product (section 2) and returns a </w:t>
      </w:r>
      <w:r>
        <w:rPr>
          <w:b/>
          <w:bCs/>
        </w:rPr>
        <w:t xml:space="preserve">28-day daily forecast</w:t>
      </w:r>
      <w:r>
        <w:t xml:space="preserve"> plus a p90 uncertainty band (“if demand runs hot, expect up to this much”).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are stored per product (</w:t>
      </w:r>
      <w:r>
        <w:rPr>
          <w:rFonts w:ascii="Consolas" w:cs="Consolas" w:eastAsia="Consolas" w:hAnsi="Consolas"/>
          <w:sz w:val="20"/>
          <w:szCs w:val="20"/>
        </w:rPr>
        <w:t xml:space="preserve">php artisan forecast:run</w:t>
      </w:r>
      <w:r>
        <w:t xml:space="preserve">, scheduled daily). A forecast older than 48 hours is treated as absent.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recommendation engine consumes the stored forecast: expected daily demand replaces the old hand-built average, the suggested order quantity covers the forecast demand over the supplier lead time plus a safety buffer sized from the p90 band, and the forecast-only insights in section 4 light up.</w:t>
      </w:r>
    </w:p>
    <w:p>
      <w:pPr>
        <w:spacing w:after="120"/>
      </w:pPr>
      <w:r>
        <w:rPr>
          <w:b/>
          <w:bCs/>
        </w:rPr>
        <w:t xml:space="preserve">Graceful fallback is a hard rule:</w:t>
      </w:r>
      <w:r>
        <w:t xml:space="preserve"> any product without a fresh forecast (or if the sidecar is down) automatically uses the original 14-day-average formula. The app never breaks because a model didn’t run.</w:t>
      </w:r>
    </w:p>
    <w:p>
      <w:pPr>
        <w:pStyle w:val="Heading1"/>
      </w:pPr>
      <w:r>
        <w:t xml:space="preserve">2. The models — and why we chose each</w:t>
      </w:r>
    </w:p>
    <w:p>
      <w:pPr>
        <w:spacing w:after="120"/>
      </w:pPr>
      <w:r>
        <w:t xml:space="preserve">No single model fits a retail catalogue: a daily best-seller, a product that sells three units a week, and a discontinued item behave completely differently. Each product is therefore classified by its demand pattern and routed to the model built for it. The classifier uses the Syntetos–Boylan criteria — how often a product sells (ADI) and how variable the quantities are (CV²) — plus history length and a “dying demand” check.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1750"/>
        <w:gridCol w:w="321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Demand pattern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Detected by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this model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Steady seller with 2+ years of history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Sells most days; ≥ 730 days of data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MSTL</w:t>
            </w:r>
            <w:r>
              <w:rPr>
                <w:sz w:val="20"/>
                <w:szCs w:val="20"/>
              </w:rPr>
              <w:t xml:space="preserve"> (weekly + annual seasonality)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only model in the set that learns weekly AND yearly cycles — it needs to see the annual cycle twice, which our 2-year dataset provides. This is what lets the software anticipate seasonal ramps ("it saw last Christmas"). 95 products.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Steady seller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Sells most days (ADI &lt; 2)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AutoETS</w:t>
            </w:r>
            <w:r>
              <w:rPr>
                <w:sz w:val="20"/>
                <w:szCs w:val="20"/>
              </w:rPr>
              <w:t xml:space="preserve"> (weekly seasonality)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Exponential smoothing: tracks level, trend and the 7-day cycle, weighting recent days more, and self-tunes its variant per product. This model family was the top statistical performer in the M5 forecasting competition (Walmart data). 126 products.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Sparse but alive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Sells less than every 2nd day, still selling recently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CrostonOptimized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industry standard for intermittent demand: it forecasts a demand rate (units/day) by separately smoothing order sizes and gaps between sales — exactly what a reorder decision needs when you can’t know which day the next sale lands. Its self-tuned smoothing beat the fixed-parameter alternative in our backtest. 28 products.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Dying demand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Long silent tail after regular sales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TSB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Croston variant whose sale-probability decays toward zero when a product stops selling — this is what powers dead-stock detection (section 4). 1 product.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 little history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28 days of data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SeasonalNaive / Naive</w:t>
            </w:r>
          </w:p>
        </w:tc>
        <w:tc>
          <w:tcPr>
            <w:tcW w:type="dxa" w:w="32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Honest baselines for new products until enough history accumulates.</w:t>
            </w:r>
          </w:p>
        </w:tc>
      </w:tr>
    </w:tbl>
    <w:p>
      <w:pPr>
        <w:spacing w:after="120" w:before="120"/>
      </w:pPr>
      <w:r>
        <w:t xml:space="preserve">Two deliberate departures from the textbook, both driven by measurement rather than theory: the intermittency threshold was raised (ADI 1.32 → 2.0) because products in the in-between band — selling most days but in wholesale-sized, highly variable quantities — forecast measurably better under exponential smoothing; and lumpy-but-alive products go to Croston rather than TSB because the backtest showed TSB’s fixed smoothing underperforming there, while TSB is kept exactly where its decay behaviour adds unique value (obsolescence).</w:t>
      </w:r>
    </w:p>
    <w:p>
      <w:pPr>
        <w:spacing w:after="120"/>
      </w:pPr>
      <w:r>
        <w:t xml:space="preserve">The models come from </w:t>
      </w:r>
      <w:r>
        <w:rPr>
          <w:b/>
          <w:bCs/>
        </w:rPr>
        <w:t xml:space="preserve">Nixtla statsforecast</w:t>
      </w:r>
      <w:r>
        <w:t xml:space="preserve">, a widely used open-source library — we choose which models to run and wrote the routing rules; the library provides fast, battle-tested implementations (all 250 products are forecast in under a minute). Swapping or adding a model later is a one-line change.</w:t>
      </w:r>
    </w:p>
    <w:p>
      <w:pPr>
        <w:pStyle w:val="Heading1"/>
      </w:pPr>
      <w:r>
        <w:t xml:space="preserve">3. How we know it works: the backtest</w:t>
      </w:r>
    </w:p>
    <w:p>
      <w:pPr>
        <w:spacing w:after="120"/>
      </w:pPr>
      <w:r>
        <w:t xml:space="preserve">Accuracy is measured with a </w:t>
      </w:r>
      <w:r>
        <w:rPr>
          <w:b/>
          <w:bCs/>
        </w:rPr>
        <w:t xml:space="preserve">rolling-origin holdout</w:t>
      </w:r>
      <w:r>
        <w:t xml:space="preserve">: the models are trained on all history except the final 28 days, forecast those 28 days blind, and are scored against what actually sold — side-by-side with the legacy formula (a flat 14-day average). The headline metric is </w:t>
      </w:r>
      <w:r>
        <w:rPr>
          <w:b/>
          <w:bCs/>
        </w:rPr>
        <w:t xml:space="preserve">total-demand WAPE</w:t>
      </w:r>
      <w:r>
        <w:t xml:space="preserve"> — how far off the 28-day total was — because the total over the lead time is the quantity a reorder decision actually consumes. Reproduce any time with </w:t>
      </w:r>
      <w:r>
        <w:rPr>
          <w:rFonts w:ascii="Consolas" w:cs="Consolas" w:eastAsia="Consolas" w:hAnsi="Consolas"/>
          <w:sz w:val="20"/>
          <w:szCs w:val="20"/>
        </w:rPr>
        <w:t xml:space="preserve">php artisan forecast:evaluate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400"/>
        <w:gridCol w:w="2400"/>
        <w:gridCol w:w="1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 group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 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 error (WAPE)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Legacy formula error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Smooth sellers (AutoETS)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30.9%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34.5%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+10.5%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Sparse sellers (Croston)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27.4%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22.7%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−20.5%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All models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30.5%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33.3%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+8.3%</w:t>
            </w:r>
          </w:p>
        </w:tc>
      </w:tr>
    </w:tbl>
    <w:p>
      <w:pPr>
        <w:spacing w:after="120" w:before="120"/>
      </w:pPr>
      <w:r>
        <w:t xml:space="preserve">The honest read: the model system beats the legacy formula by </w:t>
      </w:r>
      <w:r>
        <w:rPr>
          <w:b/>
          <w:bCs/>
        </w:rPr>
        <w:t xml:space="preserve">8.3% overall</w:t>
      </w:r>
      <w:r>
        <w:t xml:space="preserve">, driven by a </w:t>
      </w:r>
      <w:r>
        <w:rPr>
          <w:b/>
          <w:bCs/>
        </w:rPr>
        <w:t xml:space="preserve">+10.5% gain on smooth sellers</w:t>
      </w:r>
      <w:r>
        <w:t xml:space="preserve"> — 89% of the catalogue and the vast majority of volume. For the small group of very sparse products, a recent average is genuinely near-optimal and no model reliably beats it; we keep Croston there for its consistency and because those products carry little volume. Claiming the aggregate win while acknowledging this limit is a defensible position in front of any technical audience.</w:t>
      </w:r>
    </w:p>
    <w:p>
      <w:pPr>
        <w:pStyle w:val="Heading1"/>
      </w:pPr>
      <w:r>
        <w:t xml:space="preserve">4. Everything the software computes</w:t>
      </w:r>
    </w:p>
    <w:p>
      <w:pPr>
        <w:pStyle w:val="Heading2"/>
      </w:pPr>
      <w:r>
        <w:t xml:space="preserve">Per product (Recommendations &amp; product pages)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Sales velocity</w:t>
      </w:r>
      <w:r>
        <w:t xml:space="preserve"> — the model’s expected daily demand (or the 14-day average on fallback), shown as units/week.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Days of cover</w:t>
      </w:r>
      <w:r>
        <w:t xml:space="preserve"> and </w:t>
      </w:r>
      <w:r>
        <w:rPr>
          <w:b/>
          <w:bCs/>
        </w:rPr>
        <w:t xml:space="preserve">projected stockout date</w:t>
      </w:r>
      <w:r>
        <w:t xml:space="preserve"> — stock walked down the actual daily forecast curve, not a flat average.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Stockout risk</w:t>
      </w:r>
      <w:r>
        <w:t xml:space="preserve"> (high / medium / low) — high: expected lead-time demand alone exhausts stock; medium: only the p90 worst case does; low: covered even then.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Reorder recommendation</w:t>
      </w:r>
      <w:r>
        <w:t xml:space="preserve"> — whether to reorder, the suggested quantity (forecast demand over lead time + coverage, plus a p90-sized safety buffer), the order-by date, and an urgency flag.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Demand trend</w:t>
      </w:r>
      <w:r>
        <w:t xml:space="preserve"> — expected next-28-day demand vs. the previous 28 days of actual sales (rising / declining %).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Projected 30-day units and revenue</w:t>
      </w:r>
      <w:r>
        <w:t xml:space="preserve"> — expected demand × selling price.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Overstock and cash tied up</w:t>
      </w:r>
      <w:r>
        <w:t xml:space="preserve"> — stock beyond 30 days of demand, valued at cost.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Dead stock</w:t>
      </w:r>
      <w:r>
        <w:t xml:space="preserve"> — the model expects effectively no further demand while units remain; shows the cash recoverable via clearance.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Plain-language reasoning</w:t>
      </w:r>
      <w:r>
        <w:t xml:space="preserve"> — every verdict explains itself and names the model that produced it (e.g. “Forecast (AutoETS): ~261/week expected with ~5 days left… order 1,104 units now”).</w:t>
      </w:r>
    </w:p>
    <w:p>
      <w:pPr>
        <w:pStyle w:val="Heading2"/>
      </w:pPr>
      <w:r>
        <w:t xml:space="preserve">Store-wide (Dashboard &amp; summary)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Verdict counts (currently 55 reorder / 42 overstock / 1 dead stock / 152 healthy on the demo data), total cash tied up, dead-stock cash recoverable, and forecast coverage (250 of 250 products).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Projected 30-day revenue</w:t>
      </w:r>
      <w:r>
        <w:t xml:space="preserve"> (currently ≈ $417K on the demo data) and a store-wide daily demand projection — the dashboard sales chart extends past today with a dashed forecast line and worst-case band.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Stock value, units sold with period-over-period delta and sparkline, low/out-of-stock counts, inventory value by category, and daily units-in/units-out history — all fed by the same ledger.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full audit trail: every stock change is an immutable ledger row with before/after balances, reason and author.</w:t>
      </w:r>
    </w:p>
    <w:p>
      <w:pPr>
        <w:pStyle w:val="Heading1"/>
      </w:pPr>
      <w:r>
        <w:t xml:space="preserve">5. The Python sidecar — what, why, how</w:t>
      </w:r>
    </w:p>
    <w:p>
      <w:pPr>
        <w:spacing w:after="120"/>
      </w:pPr>
      <w:r>
        <w:rPr>
          <w:b/>
          <w:bCs/>
        </w:rPr>
        <w:t xml:space="preserve">What it is:</w:t>
      </w:r>
      <w:r>
        <w:t xml:space="preserve"> a small, stateless web service (FastAPI, in Apps/Forecast) that wraps the statsforecast models behind two endpoints: a health check and POST /forecast. It holds no state and never touches the database — Laravel sends sales series, the sidecar returns forecasts.</w:t>
      </w:r>
    </w:p>
    <w:p>
      <w:pPr>
        <w:spacing w:after="120"/>
      </w:pPr>
      <w:r>
        <w:rPr>
          <w:b/>
          <w:bCs/>
        </w:rPr>
        <w:t xml:space="preserve">Why we need it:</w:t>
      </w:r>
      <w:r>
        <w:t xml:space="preserve"> production-grade time-series libraries live in the Python ecosystem; PHP has no equivalent of statsforecast. Isolating the models in a sidecar keeps the Laravel application clean, lets us upgrade or swap models without touching business code, and makes failure safe: if the sidecar is down, the app silently falls back to the legacy formula.</w:t>
      </w:r>
    </w:p>
    <w:p>
      <w:pPr>
        <w:spacing w:after="120"/>
      </w:pPr>
      <w:r>
        <w:rPr>
          <w:b/>
          <w:bCs/>
        </w:rPr>
        <w:t xml:space="preserve">How to use it (Windows dev):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cd Apps\Forecast &amp;&amp; py -3.12 -m venv .venv &amp;&amp; .venv\Scripts\activate &amp;&amp; pip install -r requirements.txt</w:t>
      </w:r>
      <w:r>
        <w:t xml:space="preserve">  (one-time setup)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uvicorn app.main:app --host 127.0.0.1 --port 8100</w:t>
      </w:r>
      <w:r>
        <w:t xml:space="preserve">  (start the service; keep it running)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php artisan forecast:run</w:t>
      </w:r>
      <w:r>
        <w:t xml:space="preserve">  (from Apps/Backend — refreshes all forecasts in ~1–3 minutes; scheduled daily at 06:00; run it before a demo, forecasts go stale after 48h)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php artisan forecast:evaluate</w:t>
      </w:r>
      <w:r>
        <w:t xml:space="preserve">  (optional: reproduces the accuracy table in section 3)</w:t>
      </w:r>
    </w:p>
    <w:p>
      <w:pPr>
        <w:pStyle w:val="Heading1"/>
      </w:pPr>
      <w:r>
        <w:t xml:space="preserve">6. The dataset: why this one</w:t>
      </w:r>
    </w:p>
    <w:p>
      <w:pPr>
        <w:spacing w:after="120"/>
      </w:pPr>
      <w:r>
        <w:t xml:space="preserve">The demo runs on </w:t>
      </w:r>
      <w:r>
        <w:rPr>
          <w:b/>
          <w:bCs/>
        </w:rPr>
        <w:t xml:space="preserve">UCI Online Retail II</w:t>
      </w:r>
      <w:r>
        <w:t xml:space="preserve"> — 1,067,371 real transactions from a UK retailer, December 2009 to December 2011 (Chen, Daqing (2019), UCI Machine Learning Repository, doi:10.24432/C5CG6D, licensed CC BY 4.0).</w:t>
      </w:r>
    </w:p>
    <w:p>
      <w:pPr>
        <w:pStyle w:val="Heading2"/>
      </w:pPr>
      <w:r>
        <w:t xml:space="preserve">Why it fits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Real, transaction-level sales</w:t>
      </w:r>
      <w:r>
        <w:t xml:space="preserve"> — individual invoice lines with quantities, unit prices and timestamps, which map naturally onto our stock-movement ledger and make every screen believable.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Two full years</w:t>
      </w:r>
      <w:r>
        <w:t xml:space="preserve"> — two complete Christmas cycles, which is the minimum needed for a model to learn annual seasonality (you cannot learn a yearly pattern from seeing it once). This is what enables the MSTL tier.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Real prices</w:t>
      </w:r>
      <w:r>
        <w:t xml:space="preserve"> — so stock value, cash tied up and projected revenue are grounded numbers, not invented ones.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Open license, zero friction</w:t>
      </w:r>
      <w:r>
        <w:t xml:space="preserve"> — CC BY 4.0 with a simple citation; direct 43.5 MB public download, no account or API key.</w:t>
      </w:r>
    </w:p>
    <w:p>
      <w:pPr>
        <w:pStyle w:val="Heading2"/>
      </w:pPr>
      <w:r>
        <w:t xml:space="preserve">Why not the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 considered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Why it lost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M5 (Walmart, Kaggle)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 forecasting benchmark, but requires a Kaggle account and competition terms; it is pre-aggregated daily unit sales without transaction structure, so it cannot produce a believable invoice-level ledger or realistic prices per sale.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Corporación Favorita (Kaggle)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125 million rows — far too large for a responsive demo database — and competition-restricted licensing.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Rossmann (Kaggle)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Store-level daily revenue, not product-level units — cannot drive per-SKU inventory decisions at all.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Synthetic / generated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Defeats the purpose: the committee needs to see the models working on real demand patterns, with their real messiness (weekly rhythms, seasonal ramps, intermittency).</w:t>
            </w:r>
          </w:p>
        </w:tc>
      </w:tr>
    </w:tbl>
    <w:p>
      <w:pPr>
        <w:pStyle w:val="Heading2"/>
      </w:pPr>
      <w:r>
        <w:t xml:space="preserve">How it was migrated into our database</w:t>
      </w:r>
    </w:p>
    <w:p>
      <w:pPr>
        <w:spacing w:after="120"/>
      </w:pPr>
      <w:r>
        <w:t xml:space="preserve">One command — </w:t>
      </w:r>
      <w:r>
        <w:rPr>
          <w:rFonts w:ascii="Consolas" w:cs="Consolas" w:eastAsia="Consolas" w:hAnsi="Consolas"/>
          <w:sz w:val="20"/>
          <w:szCs w:val="20"/>
        </w:rPr>
        <w:t xml:space="preserve">php artisan inventory:import-retail</w:t>
      </w:r>
      <w:r>
        <w:t xml:space="preserve"> — runs the whole pipeline (~10–15 minutes, dominated by parsing the 1M-row workbook):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Stream &amp; clean</w:t>
      </w:r>
      <w:r>
        <w:t xml:space="preserve"> — both year-sheets are streamed row-by-row at constant memory; service codes (postage, fees, tests), zero/negative prices and exact duplicates (including the overlap between the two sheets) are dropped; cancellation invoices are netted against the day’s sales.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Curate 250 products</w:t>
      </w:r>
      <w:r>
        <w:t xml:space="preserve"> — the 200 densest recent sellers plus ~20 each of deliberately seasonal, intermittent and declining patterns, so every model tier has products to work on. Selection is deterministic (no randomness).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Synthesize product records</w:t>
      </w:r>
      <w:r>
        <w:t xml:space="preserve"> — SKU = the dataset’s stock code, name = its most frequent description, price = the median observed unit price, and 11 retail categories derived by keyword rules (the dataset has none). Cost is set at 65% of price and is clearly documented as synthetic — the dataset carries no cost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Convert sales to ledger rows</w:t>
      </w:r>
      <w:r>
        <w:t xml:space="preserve"> — one “units out” movement per product per day (net of returns), preserving the real daily demand exactly.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Simulate the supply side</w:t>
      </w:r>
      <w:r>
        <w:t xml:space="preserve"> — the dataset has no purchasing data, so opening stock and purchase orders are simulated with a standard (s,S) replenishment policy and a 7-day lead time; a guard guarantees stock never goes negative, and closing stock levels are tuned so the demo shows every verdict (roughly 20% understocked / 10% overstocked / 70% healthy).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Shift the timeline</w:t>
      </w:r>
      <w:r>
        <w:t xml:space="preserve"> — every date is moved forward by a fixed number of days so history ends yesterday; weekly and seasonal patterns are preserved (phase-shifted against the calendar).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Bulk-insert &amp; verify</w:t>
      </w:r>
      <w:r>
        <w:t xml:space="preserve"> — 99,408 movements inserted in chunks with per-product running balances, then integrity-checked: zero negative balances and zero balance-chain breaks across the entire ledger; each product’s stored quantity equals its final ledger balance.</w:t>
      </w:r>
    </w:p>
    <w:p>
      <w:pPr>
        <w:spacing w:after="120"/>
      </w:pPr>
      <w:r>
        <w:rPr>
          <w:b/>
          <w:bCs/>
        </w:rPr>
        <w:t xml:space="preserve">What is real vs. synthetic:</w:t>
      </w:r>
      <w:r>
        <w:t xml:space="preserve"> the products, their prices, and every sale (dates and quantities) are real. Costs, categories, the replenishment side and the calendar alignment are synthesized, and are presented as such.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Shelfwise — Forecasting &amp; Data •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F747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2026-07-02T14:17:48.090Z</dcterms:created>
  <dcterms:modified xsi:type="dcterms:W3CDTF">2026-07-02T14:17:48.091Z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