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7cbd2a42795e5c384628f5e52cf544601bde3b"/>
    <w:p>
      <w:pPr>
        <w:pStyle w:val="Heading1"/>
      </w:pPr>
      <w:r>
        <w:t xml:space="preserve">Estimación de Desarrollo — Marketplace B2B Carrefour (Plan 4 semanas)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3.0 (Fast-Track MercurJS)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Julio 2026</w:t>
      </w:r>
      <w:r>
        <w:br/>
      </w:r>
      <w:r>
        <w:rPr>
          <w:b/>
          <w:bCs/>
        </w:rPr>
        <w:t xml:space="preserve">Preparado por:</w:t>
      </w:r>
      <w:r>
        <w:t xml:space="preserve"> </w:t>
      </w:r>
      <w:r>
        <w:t xml:space="preserve">Abacus Consulting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Propuesta de implantación acelerada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Sí es viable implantar el proyecto en</w:t>
      </w:r>
      <w:r>
        <w:t xml:space="preserve"> </w:t>
      </w:r>
      <w:r>
        <w:rPr>
          <w:b/>
          <w:bCs/>
        </w:rPr>
        <w:t xml:space="preserve">4 semanas</w:t>
      </w:r>
      <w:r>
        <w:t xml:space="preserve">, siempre que se acepte un alcance</w:t>
      </w:r>
      <w:r>
        <w:t xml:space="preserve"> </w:t>
      </w:r>
      <w:r>
        <w:rPr>
          <w:b/>
          <w:bCs/>
        </w:rPr>
        <w:t xml:space="preserve">MVP de implantación MercurJS 2.x</w:t>
      </w:r>
      <w:r>
        <w:t xml:space="preserve"> </w:t>
      </w:r>
      <w:r>
        <w:t xml:space="preserve">y no el alcance completo del programa de 15 semanas.</w:t>
      </w:r>
    </w:p>
    <w:p>
      <w:pPr>
        <w:pStyle w:val="BodyText"/>
      </w:pPr>
      <w:r>
        <w:t xml:space="preserve">La propuesta divide el trabajo en dos niveles: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4 semanas (MVP implantado):</w:t>
      </w:r>
      <w:r>
        <w:t xml:space="preserve"> </w:t>
      </w:r>
      <w:r>
        <w:t xml:space="preserve">plataforma marketplace operativa en entorno</w:t>
      </w:r>
      <w:r>
        <w:t xml:space="preserve"> </w:t>
      </w:r>
      <w:r>
        <w:t xml:space="preserve">real controlado con flujos de alta, catálogo, compra y pedido.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posterior (roadmap):</w:t>
      </w:r>
      <w:r>
        <w:t xml:space="preserve"> </w:t>
      </w:r>
      <w:r>
        <w:t xml:space="preserve">liquidaciones avanzadas, integración contable Odoo,</w:t>
      </w:r>
      <w:r>
        <w:t xml:space="preserve"> </w:t>
      </w:r>
      <w:r>
        <w:t xml:space="preserve">incidencias avanzadas, reporting financiero, hardening y gobierno empresarial completo.</w:t>
      </w:r>
    </w:p>
    <w:p>
      <w:pPr>
        <w:pStyle w:val="FirstParagraph"/>
      </w:pPr>
      <w:r>
        <w:rPr>
          <w:b/>
          <w:bCs/>
        </w:rPr>
        <w:t xml:space="preserve">Duración objetivo MVP:</w:t>
      </w:r>
      <w:r>
        <w:t xml:space="preserve"> </w:t>
      </w:r>
      <w:r>
        <w:t xml:space="preserve">4 semanas</w:t>
      </w:r>
      <w:r>
        <w:br/>
      </w:r>
      <w:r>
        <w:rPr>
          <w:b/>
          <w:bCs/>
        </w:rPr>
        <w:t xml:space="preserve">Riesgo de desviación:</w:t>
      </w:r>
      <w:r>
        <w:t xml:space="preserve"> </w:t>
      </w:r>
      <w:r>
        <w:t xml:space="preserve">+1 semana si hay bloqueos de infraestructura, validaciones de</w:t>
      </w:r>
      <w:r>
        <w:t xml:space="preserve"> </w:t>
      </w:r>
      <w:r>
        <w:t xml:space="preserve">negocio tardías o accesos externos incompletos.</w:t>
      </w:r>
    </w:p>
    <w:p>
      <w:pPr>
        <w:pStyle w:val="BlockText"/>
      </w:pPr>
      <w:r>
        <w:t xml:space="preserve">MercurJS 2.x reduce de forma sustancial el esfuerzo de construcción del marketplace,</w:t>
      </w:r>
      <w:r>
        <w:t xml:space="preserve"> </w:t>
      </w:r>
      <w:r>
        <w:t xml:space="preserve">pero el cumplimiento del plazo de 4 semanas depende de validar tempranamente su encaje</w:t>
      </w:r>
      <w:r>
        <w:t xml:space="preserve"> </w:t>
      </w:r>
      <w:r>
        <w:t xml:space="preserve">en los casos B2B específicos y de mantener fuera de alcance, en esta fase, las</w:t>
      </w:r>
      <w:r>
        <w:t xml:space="preserve"> </w:t>
      </w:r>
      <w:r>
        <w:t xml:space="preserve">integraciones y personalizaciones de alta complejidad.</w:t>
      </w:r>
    </w:p>
    <w:p>
      <w:r>
        <w:pict>
          <v:rect style="width:0;height:1.5pt" o:hralign="center" o:hrstd="t" o:hr="t"/>
        </w:pict>
      </w:r>
    </w:p>
    <w:bookmarkEnd w:id="9"/>
    <w:bookmarkStart w:id="10" w:name="principio-de-alcance"/>
    <w:p>
      <w:pPr>
        <w:pStyle w:val="Heading2"/>
      </w:pPr>
      <w:r>
        <w:t xml:space="preserve">1. Principio de alcance</w:t>
      </w:r>
    </w:p>
    <w:p>
      <w:pPr>
        <w:pStyle w:val="FirstParagraph"/>
      </w:pPr>
      <w:r>
        <w:t xml:space="preserve">Para cumplir 4 semanas se aplica esta regla: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Entran</w:t>
      </w:r>
      <w:r>
        <w:t xml:space="preserve"> </w:t>
      </w:r>
      <w:r>
        <w:t xml:space="preserve">funcionalidades OOTB de MercurJS y extensiones ligeras imprescindibles para operar.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Salen</w:t>
      </w:r>
      <w:r>
        <w:t xml:space="preserve"> </w:t>
      </w:r>
      <w:r>
        <w:t xml:space="preserve">módulos de alta complejidad con dependencia externa o decisiones de negocio no cerradas.</w:t>
      </w:r>
    </w:p>
    <w:p>
      <w:pPr>
        <w:pStyle w:val="FirstParagraph"/>
      </w:pPr>
      <w:r>
        <w:t xml:space="preserve">Esto evita construir en 4 semanas capacidades que el documento base planificaba para sprints</w:t>
      </w:r>
      <w:r>
        <w:t xml:space="preserve"> </w:t>
      </w:r>
      <w:r>
        <w:t xml:space="preserve">posteriores (Odoo, settlement completo, seguridad enterprise, reporting avanzado).</w:t>
      </w:r>
    </w:p>
    <w:p>
      <w:r>
        <w:pict>
          <v:rect style="width:0;height:1.5pt" o:hralign="center" o:hrstd="t" o:hr="t"/>
        </w:pict>
      </w:r>
    </w:p>
    <w:bookmarkEnd w:id="10"/>
    <w:bookmarkStart w:id="15" w:name="qué-quedará-funcionando-en-4-semanas"/>
    <w:p>
      <w:pPr>
        <w:pStyle w:val="Heading2"/>
      </w:pPr>
      <w:r>
        <w:t xml:space="preserve">2. Qué quedará funcionando en 4 semanas</w:t>
      </w:r>
    </w:p>
    <w:bookmarkStart w:id="11" w:name="núcleo-plataforma"/>
    <w:p>
      <w:pPr>
        <w:pStyle w:val="Heading3"/>
      </w:pPr>
      <w:r>
        <w:t xml:space="preserve">2.1 Núcleo plataforma</w:t>
      </w:r>
    </w:p>
    <w:p>
      <w:pPr>
        <w:pStyle w:val="Compact"/>
        <w:numPr>
          <w:ilvl w:val="0"/>
          <w:numId w:val="1003"/>
        </w:numPr>
      </w:pPr>
      <w:r>
        <w:t xml:space="preserve">Proyecto MercurJS 2.x instalado y desplegable en LOCAL/DEV/PRE.</w:t>
      </w:r>
    </w:p>
    <w:p>
      <w:pPr>
        <w:pStyle w:val="Compact"/>
        <w:numPr>
          <w:ilvl w:val="0"/>
          <w:numId w:val="1003"/>
        </w:numPr>
      </w:pPr>
      <w:r>
        <w:t xml:space="preserve">CI/CD básico y control de calidad mínimo (build, lint, test smoke).</w:t>
      </w:r>
    </w:p>
    <w:p>
      <w:pPr>
        <w:pStyle w:val="Compact"/>
        <w:numPr>
          <w:ilvl w:val="0"/>
          <w:numId w:val="1003"/>
        </w:numPr>
      </w:pPr>
      <w:r>
        <w:t xml:space="preserve">Base de datos PostgreSQL y Redis operativos.</w:t>
      </w:r>
    </w:p>
    <w:p>
      <w:pPr>
        <w:pStyle w:val="Compact"/>
        <w:numPr>
          <w:ilvl w:val="0"/>
          <w:numId w:val="1003"/>
        </w:numPr>
      </w:pPr>
      <w:r>
        <w:t xml:space="preserve">Administración de configuración por entorno (mínima para operación).</w:t>
      </w:r>
    </w:p>
    <w:bookmarkEnd w:id="11"/>
    <w:bookmarkStart w:id="12" w:name="operación-marketplace-mvp"/>
    <w:p>
      <w:pPr>
        <w:pStyle w:val="Heading3"/>
      </w:pPr>
      <w:r>
        <w:t xml:space="preserve">2.2 Operación marketplace (MVP)</w:t>
      </w:r>
    </w:p>
    <w:p>
      <w:pPr>
        <w:pStyle w:val="Compact"/>
        <w:numPr>
          <w:ilvl w:val="0"/>
          <w:numId w:val="1004"/>
        </w:numPr>
      </w:pPr>
      <w:r>
        <w:t xml:space="preserve">Gestión base de sellers (alta, aprobación, estado operativo).</w:t>
      </w:r>
    </w:p>
    <w:p>
      <w:pPr>
        <w:pStyle w:val="Compact"/>
        <w:numPr>
          <w:ilvl w:val="0"/>
          <w:numId w:val="1004"/>
        </w:numPr>
      </w:pPr>
      <w:r>
        <w:t xml:space="preserve">Catálogo master + ofertas por proveedor.</w:t>
      </w:r>
    </w:p>
    <w:p>
      <w:pPr>
        <w:pStyle w:val="Compact"/>
        <w:numPr>
          <w:ilvl w:val="0"/>
          <w:numId w:val="1004"/>
        </w:numPr>
      </w:pPr>
      <w:r>
        <w:t xml:space="preserve">Storefront B2B básico para franquiciado:</w:t>
      </w:r>
    </w:p>
    <w:p>
      <w:pPr>
        <w:pStyle w:val="Compact"/>
        <w:numPr>
          <w:ilvl w:val="1"/>
          <w:numId w:val="1005"/>
        </w:numPr>
      </w:pPr>
      <w:r>
        <w:t xml:space="preserve">autenticación,</w:t>
      </w:r>
    </w:p>
    <w:p>
      <w:pPr>
        <w:pStyle w:val="Compact"/>
        <w:numPr>
          <w:ilvl w:val="1"/>
          <w:numId w:val="1005"/>
        </w:numPr>
      </w:pPr>
      <w:r>
        <w:t xml:space="preserve">navegación catálogo,</w:t>
      </w:r>
    </w:p>
    <w:p>
      <w:pPr>
        <w:pStyle w:val="Compact"/>
        <w:numPr>
          <w:ilvl w:val="1"/>
          <w:numId w:val="1005"/>
        </w:numPr>
      </w:pPr>
      <w:r>
        <w:t xml:space="preserve">detalle de producto,</w:t>
      </w:r>
    </w:p>
    <w:p>
      <w:pPr>
        <w:pStyle w:val="Compact"/>
        <w:numPr>
          <w:ilvl w:val="1"/>
          <w:numId w:val="1005"/>
        </w:numPr>
      </w:pPr>
      <w:r>
        <w:t xml:space="preserve">carrito multi-vendedor,</w:t>
      </w:r>
    </w:p>
    <w:p>
      <w:pPr>
        <w:pStyle w:val="Compact"/>
        <w:numPr>
          <w:ilvl w:val="1"/>
          <w:numId w:val="1005"/>
        </w:numPr>
      </w:pPr>
      <w:r>
        <w:t xml:space="preserve">checkout y confirmación.</w:t>
      </w:r>
    </w:p>
    <w:p>
      <w:pPr>
        <w:pStyle w:val="Compact"/>
        <w:numPr>
          <w:ilvl w:val="0"/>
          <w:numId w:val="1004"/>
        </w:numPr>
      </w:pPr>
      <w:r>
        <w:t xml:space="preserve">Split de pedidos multi-vendedor (workflow de MercurJS).</w:t>
      </w:r>
    </w:p>
    <w:p>
      <w:pPr>
        <w:pStyle w:val="Compact"/>
        <w:numPr>
          <w:ilvl w:val="0"/>
          <w:numId w:val="1004"/>
        </w:numPr>
      </w:pPr>
      <w:r>
        <w:t xml:space="preserve">Gestión básica de estado de pedido en backoffice y portal proveedor.</w:t>
      </w:r>
    </w:p>
    <w:bookmarkEnd w:id="12"/>
    <w:bookmarkStart w:id="13" w:name="pagos-mínimos-operativos"/>
    <w:p>
      <w:pPr>
        <w:pStyle w:val="Heading3"/>
      </w:pPr>
      <w:r>
        <w:t xml:space="preserve">2.3 Pagos mínimos operativos</w:t>
      </w:r>
    </w:p>
    <w:p>
      <w:pPr>
        <w:pStyle w:val="Compact"/>
        <w:numPr>
          <w:ilvl w:val="0"/>
          <w:numId w:val="1006"/>
        </w:numPr>
      </w:pPr>
      <w:r>
        <w:t xml:space="preserve">Cobro de pedido con Stripe en flujo estándar.</w:t>
      </w:r>
    </w:p>
    <w:p>
      <w:pPr>
        <w:pStyle w:val="Compact"/>
        <w:numPr>
          <w:ilvl w:val="0"/>
          <w:numId w:val="1006"/>
        </w:numPr>
      </w:pPr>
      <w:r>
        <w:t xml:space="preserve">Confirmación de pedido por webhook para evitar confirmaciones frágiles por retorno del navegador.</w:t>
      </w:r>
    </w:p>
    <w:p>
      <w:pPr>
        <w:pStyle w:val="Compact"/>
        <w:numPr>
          <w:ilvl w:val="0"/>
          <w:numId w:val="1006"/>
        </w:numPr>
      </w:pPr>
      <w:r>
        <w:t xml:space="preserve">Manejo de fallos de pago más comunes (sin casuística completa avanzada).</w:t>
      </w:r>
    </w:p>
    <w:bookmarkEnd w:id="13"/>
    <w:bookmarkStart w:id="14" w:name="observabilidad-y-seguridad-mínima"/>
    <w:p>
      <w:pPr>
        <w:pStyle w:val="Heading3"/>
      </w:pPr>
      <w:r>
        <w:t xml:space="preserve">2.4 Observabilidad y seguridad mínima</w:t>
      </w:r>
    </w:p>
    <w:p>
      <w:pPr>
        <w:pStyle w:val="Compact"/>
        <w:numPr>
          <w:ilvl w:val="0"/>
          <w:numId w:val="1007"/>
        </w:numPr>
      </w:pPr>
      <w:r>
        <w:t xml:space="preserve">Logging estructurado de eventos críticos.</w:t>
      </w:r>
    </w:p>
    <w:p>
      <w:pPr>
        <w:pStyle w:val="Compact"/>
        <w:numPr>
          <w:ilvl w:val="0"/>
          <w:numId w:val="1007"/>
        </w:numPr>
      </w:pPr>
      <w:r>
        <w:t xml:space="preserve">Alertas básicas de caída/errores de API.</w:t>
      </w:r>
    </w:p>
    <w:p>
      <w:pPr>
        <w:pStyle w:val="Compact"/>
        <w:numPr>
          <w:ilvl w:val="0"/>
          <w:numId w:val="1007"/>
        </w:numPr>
      </w:pPr>
      <w:r>
        <w:t xml:space="preserve">Controles esenciales de seguridad de entrada/salida de datos.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qué-queda-fuera-del-objetivo-4-semanas"/>
    <w:p>
      <w:pPr>
        <w:pStyle w:val="Heading2"/>
      </w:pPr>
      <w:r>
        <w:t xml:space="preserve">3. Qué queda fuera del objetivo 4 semanas</w:t>
      </w:r>
    </w:p>
    <w:p>
      <w:pPr>
        <w:pStyle w:val="Compact"/>
        <w:numPr>
          <w:ilvl w:val="0"/>
          <w:numId w:val="1008"/>
        </w:numPr>
      </w:pPr>
      <w:r>
        <w:t xml:space="preserve">Integración contable completa con Odoo (outbox, reconciliación, DLQ, mapeo full accounting).</w:t>
      </w:r>
    </w:p>
    <w:p>
      <w:pPr>
        <w:pStyle w:val="Compact"/>
        <w:numPr>
          <w:ilvl w:val="0"/>
          <w:numId w:val="1008"/>
        </w:numPr>
      </w:pPr>
      <w:r>
        <w:t xml:space="preserve">Motor completo de liquidaciones y aprobaciones financieras multiestado.</w:t>
      </w:r>
    </w:p>
    <w:p>
      <w:pPr>
        <w:pStyle w:val="Compact"/>
        <w:numPr>
          <w:ilvl w:val="0"/>
          <w:numId w:val="1008"/>
        </w:numPr>
      </w:pPr>
      <w:r>
        <w:t xml:space="preserve">Gestión de incidencias avanzada con SLA, evidencias y automatizaciones completas.</w:t>
      </w:r>
    </w:p>
    <w:p>
      <w:pPr>
        <w:pStyle w:val="Compact"/>
        <w:numPr>
          <w:ilvl w:val="0"/>
          <w:numId w:val="1008"/>
        </w:numPr>
      </w:pPr>
      <w:r>
        <w:t xml:space="preserve">Servicio documental y auditoría inmutable en alcance enterprise.</w:t>
      </w:r>
    </w:p>
    <w:p>
      <w:pPr>
        <w:pStyle w:val="Compact"/>
        <w:numPr>
          <w:ilvl w:val="0"/>
          <w:numId w:val="1008"/>
        </w:numPr>
      </w:pPr>
      <w:r>
        <w:t xml:space="preserve">Reporting/KPI financiero avanzado.</w:t>
      </w:r>
    </w:p>
    <w:p>
      <w:pPr>
        <w:pStyle w:val="Compact"/>
        <w:numPr>
          <w:ilvl w:val="0"/>
          <w:numId w:val="1008"/>
        </w:numPr>
      </w:pPr>
      <w:r>
        <w:t xml:space="preserve">Hardening completo OWASP + MFA mandatorio por rol sensible + observabilidad avanzada.</w:t>
      </w:r>
    </w:p>
    <w:p>
      <w:pPr>
        <w:pStyle w:val="Compact"/>
        <w:numPr>
          <w:ilvl w:val="0"/>
          <w:numId w:val="1008"/>
        </w:numPr>
      </w:pPr>
      <w:r>
        <w:t xml:space="preserve">Modelo organizativo total (todos los roles y políticas complejas del documento base).</w:t>
      </w:r>
    </w:p>
    <w:p>
      <w:r>
        <w:pict>
          <v:rect style="width:0;height:1.5pt" o:hralign="center" o:hrstd="t" o:hr="t"/>
        </w:pict>
      </w:r>
    </w:p>
    <w:bookmarkEnd w:id="16"/>
    <w:bookmarkStart w:id="17" w:name="nuevo-plan-por-semana-4-semanas"/>
    <w:p>
      <w:pPr>
        <w:pStyle w:val="Heading2"/>
      </w:pPr>
      <w:r>
        <w:t xml:space="preserve">4. Nuevo plan por semana (4 semanas)</w:t>
      </w:r>
    </w:p>
    <w:bookmarkEnd w:id="17"/>
    <w:bookmarkStart w:id="18" w:name="semana-1-foundation-mercurjs"/>
    <w:p>
      <w:pPr>
        <w:pStyle w:val="Heading2"/>
      </w:pPr>
      <w:r>
        <w:t xml:space="preserve">Semana 1 — Foundation MercurJS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Scaffolding MercurJS 2.x y módulos OOTB necesarios.</w:t>
      </w:r>
    </w:p>
    <w:p>
      <w:pPr>
        <w:pStyle w:val="Compact"/>
        <w:numPr>
          <w:ilvl w:val="0"/>
          <w:numId w:val="1009"/>
        </w:numPr>
      </w:pPr>
      <w:r>
        <w:t xml:space="preserve">Configuración de PostgreSQL/Redis y variables de entorno.</w:t>
      </w:r>
    </w:p>
    <w:p>
      <w:pPr>
        <w:pStyle w:val="Compact"/>
        <w:numPr>
          <w:ilvl w:val="0"/>
          <w:numId w:val="1009"/>
        </w:numPr>
      </w:pPr>
      <w:r>
        <w:t xml:space="preserve">Setup de pipelines build/lint/test smoke.</w:t>
      </w:r>
    </w:p>
    <w:p>
      <w:pPr>
        <w:pStyle w:val="Compact"/>
        <w:numPr>
          <w:ilvl w:val="0"/>
          <w:numId w:val="1009"/>
        </w:numPr>
      </w:pPr>
      <w:r>
        <w:t xml:space="preserve">Modelo mínimo para organización franquiciado (solo campos esenciales de operación).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10"/>
        </w:numPr>
      </w:pPr>
      <w:r>
        <w:t xml:space="preserve">Base Next.js/TypeScript y conexión al cliente tipado.</w:t>
      </w:r>
    </w:p>
    <w:p>
      <w:pPr>
        <w:pStyle w:val="Compact"/>
        <w:numPr>
          <w:ilvl w:val="0"/>
          <w:numId w:val="1010"/>
        </w:numPr>
      </w:pPr>
      <w:r>
        <w:t xml:space="preserve">Estructura inicial de rutas para storefront y paneles.</w:t>
      </w:r>
    </w:p>
    <w:p>
      <w:pPr>
        <w:pStyle w:val="Compact"/>
        <w:numPr>
          <w:ilvl w:val="0"/>
          <w:numId w:val="1010"/>
        </w:numPr>
      </w:pPr>
      <w:r>
        <w:t xml:space="preserve">Componentes base para login/listados/formularios.</w:t>
      </w:r>
    </w:p>
    <w:p>
      <w:pPr>
        <w:pStyle w:val="FirstParagraph"/>
      </w:pPr>
      <w:r>
        <w:rPr>
          <w:b/>
          <w:bCs/>
        </w:rPr>
        <w:t xml:space="preserve">Hito semana 1</w:t>
      </w:r>
    </w:p>
    <w:p>
      <w:pPr>
        <w:pStyle w:val="BodyText"/>
      </w:pPr>
      <w:r>
        <w:t xml:space="preserve">Proyecto desplegable en DEV/PRE con autenticación y base técnica estable.</w:t>
      </w:r>
    </w:p>
    <w:bookmarkEnd w:id="18"/>
    <w:bookmarkStart w:id="19" w:name="X8b8d5c1b02545d2d67b4039d53d98f586529123"/>
    <w:p>
      <w:pPr>
        <w:pStyle w:val="Heading2"/>
      </w:pPr>
      <w:r>
        <w:t xml:space="preserve">Semana 2 — Sellers, catálogo y onboarding mínimo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11"/>
        </w:numPr>
      </w:pPr>
      <w:r>
        <w:t xml:space="preserve">Activación de ciclo de seller y aprobación básica.</w:t>
      </w:r>
    </w:p>
    <w:p>
      <w:pPr>
        <w:pStyle w:val="Compact"/>
        <w:numPr>
          <w:ilvl w:val="0"/>
          <w:numId w:val="1011"/>
        </w:numPr>
      </w:pPr>
      <w:r>
        <w:t xml:space="preserve">Catálogo master, ofertas y relación seller-producto.</w:t>
      </w:r>
    </w:p>
    <w:p>
      <w:pPr>
        <w:pStyle w:val="Compact"/>
        <w:numPr>
          <w:ilvl w:val="0"/>
          <w:numId w:val="1011"/>
        </w:numPr>
      </w:pPr>
      <w:r>
        <w:t xml:space="preserve">Endpoints Store/API para navegación y carrito.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Flujo mínimo de alta/gestión de franquiciado.</w:t>
      </w:r>
    </w:p>
    <w:p>
      <w:pPr>
        <w:pStyle w:val="Compact"/>
        <w:numPr>
          <w:ilvl w:val="0"/>
          <w:numId w:val="1012"/>
        </w:numPr>
      </w:pPr>
      <w:r>
        <w:t xml:space="preserve">Backoffice básico para aprobar sellers y revisar catálogo.</w:t>
      </w:r>
    </w:p>
    <w:p>
      <w:pPr>
        <w:pStyle w:val="Compact"/>
        <w:numPr>
          <w:ilvl w:val="0"/>
          <w:numId w:val="1012"/>
        </w:numPr>
      </w:pPr>
      <w:r>
        <w:t xml:space="preserve">Pantallas de catálogo y detalle de producto.</w:t>
      </w:r>
    </w:p>
    <w:p>
      <w:pPr>
        <w:pStyle w:val="FirstParagraph"/>
      </w:pPr>
      <w:r>
        <w:rPr>
          <w:b/>
          <w:bCs/>
        </w:rPr>
        <w:t xml:space="preserve">Hito semana 2</w:t>
      </w:r>
    </w:p>
    <w:p>
      <w:pPr>
        <w:pStyle w:val="BodyText"/>
      </w:pPr>
      <w:r>
        <w:t xml:space="preserve">Proveedor y catálogo operativos en entorno de pruebas.</w:t>
      </w:r>
    </w:p>
    <w:bookmarkEnd w:id="19"/>
    <w:bookmarkStart w:id="20" w:name="semana-3-compra-end-to-end"/>
    <w:p>
      <w:pPr>
        <w:pStyle w:val="Heading2"/>
      </w:pPr>
      <w:r>
        <w:t xml:space="preserve">Semana 3 — Compra end-to-end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Carrito multi-vendedor y split de pedidos.</w:t>
      </w:r>
    </w:p>
    <w:p>
      <w:pPr>
        <w:pStyle w:val="Compact"/>
        <w:numPr>
          <w:ilvl w:val="0"/>
          <w:numId w:val="1013"/>
        </w:numPr>
      </w:pPr>
      <w:r>
        <w:t xml:space="preserve">Estados de pedido esenciales.</w:t>
      </w:r>
    </w:p>
    <w:p>
      <w:pPr>
        <w:pStyle w:val="Compact"/>
        <w:numPr>
          <w:ilvl w:val="0"/>
          <w:numId w:val="1013"/>
        </w:numPr>
      </w:pPr>
      <w:r>
        <w:t xml:space="preserve">Integración Stripe de cobro estándar + webhook principal.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Carrito, checkout y confirmación.</w:t>
      </w:r>
    </w:p>
    <w:p>
      <w:pPr>
        <w:pStyle w:val="Compact"/>
        <w:numPr>
          <w:ilvl w:val="0"/>
          <w:numId w:val="1014"/>
        </w:numPr>
      </w:pPr>
      <w:r>
        <w:t xml:space="preserve">Vista básica de pedidos para franquiciado.</w:t>
      </w:r>
    </w:p>
    <w:p>
      <w:pPr>
        <w:pStyle w:val="Compact"/>
        <w:numPr>
          <w:ilvl w:val="0"/>
          <w:numId w:val="1014"/>
        </w:numPr>
      </w:pPr>
      <w:r>
        <w:t xml:space="preserve">Vista básica de pedidos para proveedor (recepción y estado).</w:t>
      </w:r>
    </w:p>
    <w:p>
      <w:pPr>
        <w:pStyle w:val="FirstParagraph"/>
      </w:pPr>
      <w:r>
        <w:rPr>
          <w:b/>
          <w:bCs/>
        </w:rPr>
        <w:t xml:space="preserve">Hito semana 3</w:t>
      </w:r>
    </w:p>
    <w:p>
      <w:pPr>
        <w:pStyle w:val="BodyText"/>
      </w:pPr>
      <w:r>
        <w:t xml:space="preserve">Compra completa operativa: catálogo -&gt; carrito -&gt; pago -&gt; pedido.</w:t>
      </w:r>
    </w:p>
    <w:bookmarkEnd w:id="20"/>
    <w:bookmarkStart w:id="21" w:name="X2e1c37c17cbf2592a1a7d79ce8f3a8e09227f0b"/>
    <w:p>
      <w:pPr>
        <w:pStyle w:val="Heading2"/>
      </w:pPr>
      <w:r>
        <w:t xml:space="preserve">Semana 4 — Estabilización y salida controlada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Endurecimiento mínimo de idempotencia en cobro y validaciones críticas.</w:t>
      </w:r>
    </w:p>
    <w:p>
      <w:pPr>
        <w:pStyle w:val="Compact"/>
        <w:numPr>
          <w:ilvl w:val="0"/>
          <w:numId w:val="1015"/>
        </w:numPr>
      </w:pPr>
      <w:r>
        <w:t xml:space="preserve">Logging de eventos de pago/pedido.</w:t>
      </w:r>
    </w:p>
    <w:p>
      <w:pPr>
        <w:pStyle w:val="Compact"/>
        <w:numPr>
          <w:ilvl w:val="0"/>
          <w:numId w:val="1015"/>
        </w:numPr>
      </w:pPr>
      <w:r>
        <w:t xml:space="preserve">Corrección de defectos de smoke y E2E críticos.</w:t>
      </w:r>
    </w:p>
    <w:p>
      <w:pPr>
        <w:pStyle w:val="FirstParagraph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16"/>
        </w:numPr>
      </w:pPr>
      <w:r>
        <w:t xml:space="preserve">Ajustes UX/responsive de flujos principales.</w:t>
      </w:r>
    </w:p>
    <w:p>
      <w:pPr>
        <w:pStyle w:val="Compact"/>
        <w:numPr>
          <w:ilvl w:val="0"/>
          <w:numId w:val="1016"/>
        </w:numPr>
      </w:pPr>
      <w:r>
        <w:t xml:space="preserve">Corrección de errores funcionales bloqueantes.</w:t>
      </w:r>
    </w:p>
    <w:p>
      <w:pPr>
        <w:pStyle w:val="Compact"/>
        <w:numPr>
          <w:ilvl w:val="0"/>
          <w:numId w:val="1016"/>
        </w:numPr>
      </w:pPr>
      <w:r>
        <w:t xml:space="preserve">Checklist de salida a piloto técnico.</w:t>
      </w:r>
    </w:p>
    <w:p>
      <w:pPr>
        <w:pStyle w:val="FirstParagraph"/>
      </w:pPr>
      <w:r>
        <w:rPr>
          <w:b/>
          <w:bCs/>
        </w:rPr>
        <w:t xml:space="preserve">Hito semana 4</w:t>
      </w:r>
    </w:p>
    <w:p>
      <w:pPr>
        <w:pStyle w:val="BodyText"/>
      </w:pPr>
      <w:r>
        <w:t xml:space="preserve">MVP MercurJS implantado y listo para piloto controlado.</w:t>
      </w:r>
    </w:p>
    <w:p>
      <w:r>
        <w:pict>
          <v:rect style="width:0;height:1.5pt" o:hralign="center" o:hrstd="t" o:hr="t"/>
        </w:pict>
      </w:r>
    </w:p>
    <w:bookmarkEnd w:id="21"/>
    <w:bookmarkStart w:id="22" w:name="estimación-de-esfuerzo-4-semanas"/>
    <w:p>
      <w:pPr>
        <w:pStyle w:val="Heading2"/>
      </w:pPr>
      <w:r>
        <w:t xml:space="preserve">5. Estimación de esfuerzo (4 semanas)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 (días)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 (días)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1 — 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2 — Sellers + catálogo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3 — Compra + pago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4 — Estabilización MVP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MVP 4 semanas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 semanas</w:t>
            </w:r>
          </w:p>
        </w:tc>
      </w:tr>
    </w:tbl>
    <w:p>
      <w:pPr>
        <w:pStyle w:val="BodyText"/>
      </w:pPr>
      <w:r>
        <w:t xml:space="preserve">Capacidad total aproximada: 2 seniors x 4 semanas x 5 días = 40 jornadas.</w:t>
      </w:r>
      <w:r>
        <w:br/>
      </w:r>
      <w:r>
        <w:t xml:space="preserve">Se reserva margen interno para revisión senior, regresión y corrección de defectos.</w:t>
      </w:r>
    </w:p>
    <w:p>
      <w:r>
        <w:pict>
          <v:rect style="width:0;height:1.5pt" o:hralign="center" o:hrstd="t" o:hr="t"/>
        </w:pict>
      </w:r>
    </w:p>
    <w:bookmarkEnd w:id="22"/>
    <w:bookmarkStart w:id="23" w:name="criterios-de-aceptación-del-mvp"/>
    <w:p>
      <w:pPr>
        <w:pStyle w:val="Heading2"/>
      </w:pPr>
      <w:r>
        <w:t xml:space="preserve">6. Criterios de aceptación del MVP</w:t>
      </w:r>
    </w:p>
    <w:p>
      <w:pPr>
        <w:pStyle w:val="FirstParagraph"/>
      </w:pPr>
      <w:r>
        <w:t xml:space="preserve">Se considera cumplido el objetivo de 4 semanas cuando:</w:t>
      </w:r>
    </w:p>
    <w:p>
      <w:pPr>
        <w:pStyle w:val="Compact"/>
        <w:numPr>
          <w:ilvl w:val="0"/>
          <w:numId w:val="1017"/>
        </w:numPr>
      </w:pPr>
      <w:r>
        <w:t xml:space="preserve">Existe despliegue estable en PRE con checklist de release mínimo superado.</w:t>
      </w:r>
    </w:p>
    <w:p>
      <w:pPr>
        <w:pStyle w:val="Compact"/>
        <w:numPr>
          <w:ilvl w:val="0"/>
          <w:numId w:val="1017"/>
        </w:numPr>
      </w:pPr>
      <w:r>
        <w:t xml:space="preserve">Un proveedor puede estar aprobado y publicar oferta sobre catálogo master.</w:t>
      </w:r>
    </w:p>
    <w:p>
      <w:pPr>
        <w:pStyle w:val="Compact"/>
        <w:numPr>
          <w:ilvl w:val="0"/>
          <w:numId w:val="1017"/>
        </w:numPr>
      </w:pPr>
      <w:r>
        <w:t xml:space="preserve">Un franquiciado puede autenticarse, comprar y pagar un pedido con éxito.</w:t>
      </w:r>
    </w:p>
    <w:p>
      <w:pPr>
        <w:pStyle w:val="Compact"/>
        <w:numPr>
          <w:ilvl w:val="0"/>
          <w:numId w:val="1017"/>
        </w:numPr>
      </w:pPr>
      <w:r>
        <w:t xml:space="preserve">El pedido queda registrado y visible para operación y proveedor.</w:t>
      </w:r>
    </w:p>
    <w:p>
      <w:pPr>
        <w:pStyle w:val="Compact"/>
        <w:numPr>
          <w:ilvl w:val="0"/>
          <w:numId w:val="1017"/>
        </w:numPr>
      </w:pPr>
      <w:r>
        <w:t xml:space="preserve">Los fallos de pago no generan pedidos confirmados erróneos.</w:t>
      </w:r>
    </w:p>
    <w:p>
      <w:r>
        <w:pict>
          <v:rect style="width:0;height:1.5pt" o:hralign="center" o:hrstd="t" o:hr="t"/>
        </w:pict>
      </w:r>
    </w:p>
    <w:bookmarkEnd w:id="23"/>
    <w:bookmarkStart w:id="24" w:name="riesgos-críticos-y-mitigación"/>
    <w:p>
      <w:pPr>
        <w:pStyle w:val="Heading2"/>
      </w:pPr>
      <w:r>
        <w:t xml:space="preserve">7. Riesgos críticos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R4-01</w:t>
            </w:r>
          </w:p>
        </w:tc>
        <w:tc>
          <w:tcPr/>
          <w:p>
            <w:pPr>
              <w:pStyle w:val="Compact"/>
            </w:pPr>
            <w:r>
              <w:t xml:space="preserve">Decisiones de negocio tardías (fiscal/comisiones)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Congelar alcance MVP: solo reglas mínimas de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R4-02</w:t>
            </w:r>
          </w:p>
        </w:tc>
        <w:tc>
          <w:tcPr/>
          <w:p>
            <w:pPr>
              <w:pStyle w:val="Compact"/>
            </w:pPr>
            <w:r>
              <w:t xml:space="preserve">Dependencias externas (Odoo)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Odoo fuera del MVP; usar interfaz diferida y backlog fase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R4-03</w:t>
            </w:r>
          </w:p>
        </w:tc>
        <w:tc>
          <w:tcPr/>
          <w:p>
            <w:pPr>
              <w:pStyle w:val="Compact"/>
            </w:pPr>
            <w:r>
              <w:t xml:space="preserve">Sobrecarga por incluir módulos enterprise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Comité semanal de alcance y política estricta de no expansión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R4-04</w:t>
            </w:r>
          </w:p>
        </w:tc>
        <w:tc>
          <w:tcPr/>
          <w:p>
            <w:pPr>
              <w:pStyle w:val="Compact"/>
            </w:pPr>
            <w:r>
              <w:t xml:space="preserve">Calidad insuficiente por velocidad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Gate técnico diario: build, lint, smoke, revisión senior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R4-05</w:t>
            </w:r>
          </w:p>
        </w:tc>
        <w:tc>
          <w:tcPr/>
          <w:p>
            <w:pPr>
              <w:pStyle w:val="Compact"/>
            </w:pPr>
            <w:r>
              <w:t xml:space="preserve">Incertidumbre de UX final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Limitar personalización visual, priorizar flujo funcional estable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oadmap-posterior-al-mvp-fase-2"/>
    <w:p>
      <w:pPr>
        <w:pStyle w:val="Heading2"/>
      </w:pPr>
      <w:r>
        <w:t xml:space="preserve">8. Roadmap posterior al MVP (fase 2)</w:t>
      </w:r>
    </w:p>
    <w:p>
      <w:pPr>
        <w:pStyle w:val="FirstParagraph"/>
      </w:pPr>
      <w:r>
        <w:t xml:space="preserve">Tras la implantación en 4 semanas, el proyecto completo continúa por oleadas:</w:t>
      </w:r>
    </w:p>
    <w:p>
      <w:pPr>
        <w:pStyle w:val="Compact"/>
        <w:numPr>
          <w:ilvl w:val="0"/>
          <w:numId w:val="1018"/>
        </w:numPr>
      </w:pPr>
      <w:r>
        <w:t xml:space="preserve">Odoo + conciliación + contabilidad (2 a 4 semanas).</w:t>
      </w:r>
    </w:p>
    <w:p>
      <w:pPr>
        <w:pStyle w:val="Compact"/>
        <w:numPr>
          <w:ilvl w:val="0"/>
          <w:numId w:val="1018"/>
        </w:numPr>
      </w:pPr>
      <w:r>
        <w:t xml:space="preserve">Liquidaciones avanzadas + aprobaciones financieras (2 semanas).</w:t>
      </w:r>
    </w:p>
    <w:p>
      <w:pPr>
        <w:pStyle w:val="Compact"/>
        <w:numPr>
          <w:ilvl w:val="0"/>
          <w:numId w:val="1018"/>
        </w:numPr>
      </w:pPr>
      <w:r>
        <w:t xml:space="preserve">Incidencias/SLA + reembolsos avanzados (2 semanas).</w:t>
      </w:r>
    </w:p>
    <w:p>
      <w:pPr>
        <w:pStyle w:val="Compact"/>
        <w:numPr>
          <w:ilvl w:val="0"/>
          <w:numId w:val="1018"/>
        </w:numPr>
      </w:pPr>
      <w:r>
        <w:t xml:space="preserve">Reporting, auditoría, configuración avanzada (1.5 semanas).</w:t>
      </w:r>
    </w:p>
    <w:p>
      <w:pPr>
        <w:pStyle w:val="Compact"/>
        <w:numPr>
          <w:ilvl w:val="0"/>
          <w:numId w:val="1018"/>
        </w:numPr>
      </w:pPr>
      <w:r>
        <w:t xml:space="preserve">Seguridad enterprise + observabilidad completa + UAT ampliado (1.5 semanas).</w:t>
      </w:r>
    </w:p>
    <w:p>
      <w:pPr>
        <w:pStyle w:val="FirstParagraph"/>
      </w:pPr>
      <w:r>
        <w:t xml:space="preserve">Duración esperable fase 2: 9 a 11 semanas, alineada con la estimación original global.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ón"/>
    <w:p>
      <w:pPr>
        <w:pStyle w:val="Heading2"/>
      </w:pPr>
      <w:r>
        <w:t xml:space="preserve">9. Conclusión</w:t>
      </w:r>
    </w:p>
    <w:p>
      <w:pPr>
        <w:pStyle w:val="FirstParagraph"/>
      </w:pPr>
      <w:r>
        <w:rPr>
          <w:b/>
          <w:bCs/>
        </w:rPr>
        <w:t xml:space="preserve">Sí es posible llegar en 4 semanas</w:t>
      </w:r>
      <w:r>
        <w:t xml:space="preserve"> </w:t>
      </w:r>
      <w:r>
        <w:t xml:space="preserve">con MercurJS 2.x implantado, si el objetivo se define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MVP operativo de marketplace</w:t>
      </w:r>
      <w:r>
        <w:t xml:space="preserve"> </w:t>
      </w:r>
      <w:r>
        <w:t xml:space="preserve">y no como entrega total del alcance corporativo final.</w:t>
      </w:r>
    </w:p>
    <w:p>
      <w:pPr>
        <w:pStyle w:val="BodyText"/>
      </w:pPr>
      <w:r>
        <w:t xml:space="preserve">Esta estrategia reduce riesgo de calendario y permite empezar validación real de negocio antes,</w:t>
      </w:r>
      <w:r>
        <w:t xml:space="preserve"> </w:t>
      </w:r>
      <w:r>
        <w:t xml:space="preserve">manteniendo trazabilidad hacia el roadmap completo.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2026-07-31T08:47:05Z</dcterms:created>
  <dcterms:modified xsi:type="dcterms:W3CDTF">2026-07-31T08:47:05Z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