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49f9d144231f58a5bb6be1ee4a4238cc5329e84"/>
    <w:p>
      <w:pPr>
        <w:pStyle w:val="Heading1"/>
      </w:pPr>
      <w:r>
        <w:t xml:space="preserve">Plan Sprint a Sprint — Marketplace B2B Carrefour (Fast-Track 4 semanas)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Implantar un MVP funcional sobre MercurJS 2.x en 4 semanas, con operación real controlada</w:t>
      </w:r>
      <w:r>
        <w:t xml:space="preserve"> </w:t>
      </w:r>
      <w:r>
        <w:t xml:space="preserve">y criterios de salida claros para piloto técnico.</w:t>
      </w:r>
    </w:p>
    <w:p>
      <w:pPr>
        <w:pStyle w:val="BlockText"/>
      </w:pPr>
      <w:r>
        <w:t xml:space="preserve">MercurJS 2.x reduce de forma sustancial el esfuerzo de construcción del marketplace,</w:t>
      </w:r>
      <w:r>
        <w:t xml:space="preserve"> </w:t>
      </w:r>
      <w:r>
        <w:t xml:space="preserve">pero el cumplimiento del plazo de 4 semanas depende de validar tempranamente su encaje</w:t>
      </w:r>
      <w:r>
        <w:t xml:space="preserve"> </w:t>
      </w:r>
      <w:r>
        <w:t xml:space="preserve">en los casos B2B específicos y de mantener fuera de alcance, en esta fase, las</w:t>
      </w:r>
      <w:r>
        <w:t xml:space="preserve"> </w:t>
      </w:r>
      <w:r>
        <w:t xml:space="preserve">integraciones y personalizaciones de alta complejidad.</w:t>
      </w:r>
    </w:p>
    <w:p>
      <w:r>
        <w:pict>
          <v:rect style="width:0;height:1.5pt" o:hralign="center" o:hrstd="t" o:hr="t"/>
        </w:pict>
      </w:r>
    </w:p>
    <w:bookmarkEnd w:id="9"/>
    <w:bookmarkStart w:id="10" w:name="estructura-del-plan"/>
    <w:p>
      <w:pPr>
        <w:pStyle w:val="Heading2"/>
      </w:pPr>
      <w:r>
        <w:t xml:space="preserve">Estructura del plan</w:t>
      </w:r>
    </w:p>
    <w:p>
      <w:pPr>
        <w:pStyle w:val="Compact"/>
        <w:numPr>
          <w:ilvl w:val="0"/>
          <w:numId w:val="1001"/>
        </w:numPr>
      </w:pPr>
      <w:r>
        <w:t xml:space="preserve">Duración: 4 semanas</w:t>
      </w:r>
    </w:p>
    <w:p>
      <w:pPr>
        <w:pStyle w:val="Compact"/>
        <w:numPr>
          <w:ilvl w:val="0"/>
          <w:numId w:val="1001"/>
        </w:numPr>
      </w:pPr>
      <w:r>
        <w:t xml:space="preserve">Equipo: 1 Senior Backend + 1 Senior Frontend</w:t>
      </w:r>
    </w:p>
    <w:p>
      <w:pPr>
        <w:pStyle w:val="Compact"/>
        <w:numPr>
          <w:ilvl w:val="0"/>
          <w:numId w:val="1001"/>
        </w:numPr>
      </w:pPr>
      <w:r>
        <w:t xml:space="preserve">Método: entregas semanales con demo obligatoria y gate técnico diario</w:t>
      </w:r>
    </w:p>
    <w:p>
      <w:pPr>
        <w:pStyle w:val="Compact"/>
        <w:numPr>
          <w:ilvl w:val="0"/>
          <w:numId w:val="1001"/>
        </w:numPr>
      </w:pPr>
      <w:r>
        <w:t xml:space="preserve">Definición de terminado: build + lint + smoke + validación funcional de flujo crítico</w:t>
      </w:r>
    </w:p>
    <w:p>
      <w:r>
        <w:pict>
          <v:rect style="width:0;height:1.5pt" o:hralign="center" o:hrstd="t" o:hr="t"/>
        </w:pict>
      </w:r>
    </w:p>
    <w:bookmarkEnd w:id="10"/>
    <w:bookmarkStart w:id="17" w:name="sprint-0-semana-1-foundation-mercurjs"/>
    <w:p>
      <w:pPr>
        <w:pStyle w:val="Heading2"/>
      </w:pPr>
      <w:r>
        <w:t xml:space="preserve">Sprint 0 (Semana 1) — Foundation MercurJS</w:t>
      </w:r>
    </w:p>
    <w:bookmarkStart w:id="11" w:name="objetivos"/>
    <w:p>
      <w:pPr>
        <w:pStyle w:val="Heading3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Disponer de la base técnica y de despliegue para iterar sin fricción.</w:t>
      </w:r>
    </w:p>
    <w:p>
      <w:pPr>
        <w:pStyle w:val="Compact"/>
        <w:numPr>
          <w:ilvl w:val="0"/>
          <w:numId w:val="1002"/>
        </w:numPr>
      </w:pPr>
      <w:r>
        <w:t xml:space="preserve">Activar módulos MercurJS OOTB imprescindibles para marketplace.</w:t>
      </w:r>
    </w:p>
    <w:bookmarkEnd w:id="11"/>
    <w:bookmarkStart w:id="12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Scaffold MercurJS 2.x y configuración inicial de módulos.</w:t>
      </w:r>
    </w:p>
    <w:p>
      <w:pPr>
        <w:pStyle w:val="Compact"/>
        <w:numPr>
          <w:ilvl w:val="0"/>
          <w:numId w:val="1003"/>
        </w:numPr>
      </w:pPr>
      <w:r>
        <w:t xml:space="preserve">PostgreSQL/Redis/variables por entorno.</w:t>
      </w:r>
    </w:p>
    <w:p>
      <w:pPr>
        <w:pStyle w:val="Compact"/>
        <w:numPr>
          <w:ilvl w:val="0"/>
          <w:numId w:val="1003"/>
        </w:numPr>
      </w:pPr>
      <w:r>
        <w:t xml:space="preserve">Pipelines de build, lint y smoke test.</w:t>
      </w:r>
    </w:p>
    <w:p>
      <w:pPr>
        <w:pStyle w:val="Compact"/>
        <w:numPr>
          <w:ilvl w:val="0"/>
          <w:numId w:val="1003"/>
        </w:numPr>
      </w:pPr>
      <w:r>
        <w:t xml:space="preserve">Modelo mínimo de organización franquiciado para operación básica.</w:t>
      </w:r>
    </w:p>
    <w:bookmarkEnd w:id="12"/>
    <w:bookmarkStart w:id="13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t xml:space="preserve">Setup Next.js + TypeScript.</w:t>
      </w:r>
    </w:p>
    <w:p>
      <w:pPr>
        <w:pStyle w:val="Compact"/>
        <w:numPr>
          <w:ilvl w:val="0"/>
          <w:numId w:val="1004"/>
        </w:numPr>
      </w:pPr>
      <w:r>
        <w:t xml:space="preserve">Estructura de rutas inicial para storefront y paneles.</w:t>
      </w:r>
    </w:p>
    <w:p>
      <w:pPr>
        <w:pStyle w:val="Compact"/>
        <w:numPr>
          <w:ilvl w:val="0"/>
          <w:numId w:val="1004"/>
        </w:numPr>
      </w:pPr>
      <w:r>
        <w:t xml:space="preserve">Base UI para login, listados y formularios.</w:t>
      </w:r>
    </w:p>
    <w:p>
      <w:pPr>
        <w:pStyle w:val="Compact"/>
        <w:numPr>
          <w:ilvl w:val="0"/>
          <w:numId w:val="1004"/>
        </w:numPr>
      </w:pPr>
      <w:r>
        <w:t xml:space="preserve">Integración del cliente API tipado.</w:t>
      </w:r>
    </w:p>
    <w:bookmarkEnd w:id="13"/>
    <w:bookmarkStart w:id="14" w:name="criterios-de-aceptación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5"/>
        </w:numPr>
      </w:pPr>
      <w:r>
        <w:t xml:space="preserve">Proyecto desplegable en DEV/PRE.</w:t>
      </w:r>
    </w:p>
    <w:p>
      <w:pPr>
        <w:pStyle w:val="Compact"/>
        <w:numPr>
          <w:ilvl w:val="0"/>
          <w:numId w:val="1005"/>
        </w:numPr>
      </w:pPr>
      <w:r>
        <w:t xml:space="preserve">Autenticación operativa.</w:t>
      </w:r>
    </w:p>
    <w:p>
      <w:pPr>
        <w:pStyle w:val="Compact"/>
        <w:numPr>
          <w:ilvl w:val="0"/>
          <w:numId w:val="1005"/>
        </w:numPr>
      </w:pPr>
      <w:r>
        <w:t xml:space="preserve">Pipeline ejecutando validaciones automáticas mínimas.</w:t>
      </w:r>
    </w:p>
    <w:bookmarkEnd w:id="14"/>
    <w:bookmarkStart w:id="15" w:name="riesgo-dominante"/>
    <w:p>
      <w:pPr>
        <w:pStyle w:val="Heading3"/>
      </w:pPr>
      <w:r>
        <w:t xml:space="preserve">Riesgo dominante</w:t>
      </w:r>
    </w:p>
    <w:p>
      <w:pPr>
        <w:pStyle w:val="Compact"/>
        <w:numPr>
          <w:ilvl w:val="0"/>
          <w:numId w:val="1006"/>
        </w:numPr>
      </w:pPr>
      <w:r>
        <w:t xml:space="preserve">Decisiones de infraestructura no cerradas.</w:t>
      </w:r>
    </w:p>
    <w:bookmarkEnd w:id="15"/>
    <w:bookmarkStart w:id="16" w:name="mitigación"/>
    <w:p>
      <w:pPr>
        <w:pStyle w:val="Heading3"/>
      </w:pPr>
      <w:r>
        <w:t xml:space="preserve">Mitigación</w:t>
      </w:r>
    </w:p>
    <w:p>
      <w:pPr>
        <w:pStyle w:val="Compact"/>
        <w:numPr>
          <w:ilvl w:val="0"/>
          <w:numId w:val="1007"/>
        </w:numPr>
      </w:pPr>
      <w:r>
        <w:t xml:space="preserve">Sesión de decisiones técnicas en día 1 con acta cerrada.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X790ff3714a41e2174dc9cbfb9876bdeea20f23b"/>
    <w:p>
      <w:pPr>
        <w:pStyle w:val="Heading2"/>
      </w:pPr>
      <w:r>
        <w:t xml:space="preserve">Sprint 1 (Semana 2) — Sellers y Catálogo Operativo</w:t>
      </w:r>
    </w:p>
    <w:bookmarkStart w:id="18" w:name="objetivos-1"/>
    <w:p>
      <w:pPr>
        <w:pStyle w:val="Heading3"/>
      </w:pPr>
      <w:r>
        <w:t xml:space="preserve">Objetivos</w:t>
      </w:r>
    </w:p>
    <w:p>
      <w:pPr>
        <w:pStyle w:val="Compact"/>
        <w:numPr>
          <w:ilvl w:val="0"/>
          <w:numId w:val="1008"/>
        </w:numPr>
      </w:pPr>
      <w:r>
        <w:t xml:space="preserve">Habilitar la operación comercial base proveedor -&gt; catálogo.</w:t>
      </w:r>
    </w:p>
    <w:bookmarkEnd w:id="18"/>
    <w:bookmarkStart w:id="19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9"/>
        </w:numPr>
      </w:pPr>
      <w:r>
        <w:t xml:space="preserve">Flujo mínimo seller (alta/aprobación/estado activo).</w:t>
      </w:r>
    </w:p>
    <w:p>
      <w:pPr>
        <w:pStyle w:val="Compact"/>
        <w:numPr>
          <w:ilvl w:val="0"/>
          <w:numId w:val="1009"/>
        </w:numPr>
      </w:pPr>
      <w:r>
        <w:t xml:space="preserve">Catálogo master + ofertas por proveedor.</w:t>
      </w:r>
    </w:p>
    <w:p>
      <w:pPr>
        <w:pStyle w:val="Compact"/>
        <w:numPr>
          <w:ilvl w:val="0"/>
          <w:numId w:val="1009"/>
        </w:numPr>
      </w:pPr>
      <w:r>
        <w:t xml:space="preserve">Endpoints de catálogo y preparación de carrito.</w:t>
      </w:r>
    </w:p>
    <w:bookmarkEnd w:id="19"/>
    <w:bookmarkStart w:id="20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0"/>
        </w:numPr>
      </w:pPr>
      <w:r>
        <w:t xml:space="preserve">Pantallas de gestión básica de sellers (backoffice).</w:t>
      </w:r>
    </w:p>
    <w:p>
      <w:pPr>
        <w:pStyle w:val="Compact"/>
        <w:numPr>
          <w:ilvl w:val="0"/>
          <w:numId w:val="1010"/>
        </w:numPr>
      </w:pPr>
      <w:r>
        <w:t xml:space="preserve">Catálogo y detalle de producto (storefront).</w:t>
      </w:r>
    </w:p>
    <w:p>
      <w:pPr>
        <w:pStyle w:val="Compact"/>
        <w:numPr>
          <w:ilvl w:val="0"/>
          <w:numId w:val="1010"/>
        </w:numPr>
      </w:pPr>
      <w:r>
        <w:t xml:space="preserve">Flujo mínimo de onboarding franquiciado.</w:t>
      </w:r>
    </w:p>
    <w:bookmarkEnd w:id="20"/>
    <w:bookmarkStart w:id="21" w:name="criterios-de-aceptación-1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Seller aprobado visible en operación.</w:t>
      </w:r>
    </w:p>
    <w:p>
      <w:pPr>
        <w:pStyle w:val="Compact"/>
        <w:numPr>
          <w:ilvl w:val="0"/>
          <w:numId w:val="1011"/>
        </w:numPr>
      </w:pPr>
      <w:r>
        <w:t xml:space="preserve">Oferta publicada y consultable en storefront.</w:t>
      </w:r>
    </w:p>
    <w:p>
      <w:pPr>
        <w:pStyle w:val="Compact"/>
        <w:numPr>
          <w:ilvl w:val="0"/>
          <w:numId w:val="1011"/>
        </w:numPr>
      </w:pPr>
      <w:r>
        <w:t xml:space="preserve">Navegación de catálogo sin errores bloqueantes.</w:t>
      </w:r>
    </w:p>
    <w:bookmarkEnd w:id="21"/>
    <w:bookmarkStart w:id="22" w:name="riesgo-dominante-1"/>
    <w:p>
      <w:pPr>
        <w:pStyle w:val="Heading3"/>
      </w:pPr>
      <w:r>
        <w:t xml:space="preserve">Riesgo dominante</w:t>
      </w:r>
    </w:p>
    <w:p>
      <w:pPr>
        <w:pStyle w:val="Compact"/>
        <w:numPr>
          <w:ilvl w:val="0"/>
          <w:numId w:val="1012"/>
        </w:numPr>
      </w:pPr>
      <w:r>
        <w:t xml:space="preserve">Variaciones de alcance de homologación.</w:t>
      </w:r>
    </w:p>
    <w:bookmarkEnd w:id="22"/>
    <w:bookmarkStart w:id="23" w:name="mitigación-1"/>
    <w:p>
      <w:pPr>
        <w:pStyle w:val="Heading3"/>
      </w:pPr>
      <w:r>
        <w:t xml:space="preserve">Mitigación</w:t>
      </w:r>
    </w:p>
    <w:p>
      <w:pPr>
        <w:pStyle w:val="Compact"/>
        <w:numPr>
          <w:ilvl w:val="0"/>
          <w:numId w:val="1013"/>
        </w:numPr>
      </w:pPr>
      <w:r>
        <w:t xml:space="preserve">Limitar homologación al set mínimo de datos y backlog de mejoras.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sprint-2-semana-3-compra-end-to-end"/>
    <w:p>
      <w:pPr>
        <w:pStyle w:val="Heading2"/>
      </w:pPr>
      <w:r>
        <w:t xml:space="preserve">Sprint 2 (Semana 3) — Compra End-to-End</w:t>
      </w:r>
    </w:p>
    <w:bookmarkStart w:id="25" w:name="objetivos-2"/>
    <w:p>
      <w:pPr>
        <w:pStyle w:val="Heading3"/>
      </w:pPr>
      <w:r>
        <w:t xml:space="preserve">Objetivos</w:t>
      </w:r>
    </w:p>
    <w:p>
      <w:pPr>
        <w:pStyle w:val="Compact"/>
        <w:numPr>
          <w:ilvl w:val="0"/>
          <w:numId w:val="1014"/>
        </w:numPr>
      </w:pPr>
      <w:r>
        <w:t xml:space="preserve">Completar el flujo de compra hasta pedido confirmado.</w:t>
      </w:r>
    </w:p>
    <w:bookmarkEnd w:id="25"/>
    <w:bookmarkStart w:id="26" w:name="backend-2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5"/>
        </w:numPr>
      </w:pPr>
      <w:r>
        <w:t xml:space="preserve">Carrito multi-vendedor.</w:t>
      </w:r>
    </w:p>
    <w:p>
      <w:pPr>
        <w:pStyle w:val="Compact"/>
        <w:numPr>
          <w:ilvl w:val="0"/>
          <w:numId w:val="1015"/>
        </w:numPr>
      </w:pPr>
      <w:r>
        <w:t xml:space="preserve">Split order workflow.</w:t>
      </w:r>
    </w:p>
    <w:p>
      <w:pPr>
        <w:pStyle w:val="Compact"/>
        <w:numPr>
          <w:ilvl w:val="0"/>
          <w:numId w:val="1015"/>
        </w:numPr>
      </w:pPr>
      <w:r>
        <w:t xml:space="preserve">Stripe cobro estándar + webhook principal de confirmación.</w:t>
      </w:r>
    </w:p>
    <w:p>
      <w:pPr>
        <w:pStyle w:val="Compact"/>
        <w:numPr>
          <w:ilvl w:val="0"/>
          <w:numId w:val="1015"/>
        </w:numPr>
      </w:pPr>
      <w:r>
        <w:t xml:space="preserve">Estados esenciales de pedido.</w:t>
      </w:r>
    </w:p>
    <w:bookmarkEnd w:id="26"/>
    <w:bookmarkStart w:id="27" w:name="frontend-2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6"/>
        </w:numPr>
      </w:pPr>
      <w:r>
        <w:t xml:space="preserve">Carrito y checkout.</w:t>
      </w:r>
    </w:p>
    <w:p>
      <w:pPr>
        <w:pStyle w:val="Compact"/>
        <w:numPr>
          <w:ilvl w:val="0"/>
          <w:numId w:val="1016"/>
        </w:numPr>
      </w:pPr>
      <w:r>
        <w:t xml:space="preserve">Confirmación de compra.</w:t>
      </w:r>
    </w:p>
    <w:p>
      <w:pPr>
        <w:pStyle w:val="Compact"/>
        <w:numPr>
          <w:ilvl w:val="0"/>
          <w:numId w:val="1016"/>
        </w:numPr>
      </w:pPr>
      <w:r>
        <w:t xml:space="preserve">Vista de pedidos para franquiciado.</w:t>
      </w:r>
    </w:p>
    <w:p>
      <w:pPr>
        <w:pStyle w:val="Compact"/>
        <w:numPr>
          <w:ilvl w:val="0"/>
          <w:numId w:val="1016"/>
        </w:numPr>
      </w:pPr>
      <w:r>
        <w:t xml:space="preserve">Vista básica para proveedor.</w:t>
      </w:r>
    </w:p>
    <w:bookmarkEnd w:id="27"/>
    <w:bookmarkStart w:id="28" w:name="criterios-de-aceptación-2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17"/>
        </w:numPr>
      </w:pPr>
      <w:r>
        <w:t xml:space="preserve">Pedido creado tras pago confirmado por webhook.</w:t>
      </w:r>
    </w:p>
    <w:p>
      <w:pPr>
        <w:pStyle w:val="Compact"/>
        <w:numPr>
          <w:ilvl w:val="0"/>
          <w:numId w:val="1017"/>
        </w:numPr>
      </w:pPr>
      <w:r>
        <w:t xml:space="preserve">Split de pedido visible por vendedor.</w:t>
      </w:r>
    </w:p>
    <w:p>
      <w:pPr>
        <w:pStyle w:val="Compact"/>
        <w:numPr>
          <w:ilvl w:val="0"/>
          <w:numId w:val="1017"/>
        </w:numPr>
      </w:pPr>
      <w:r>
        <w:t xml:space="preserve">Gestión de fallo de pago sin confirmación errónea.</w:t>
      </w:r>
    </w:p>
    <w:bookmarkEnd w:id="28"/>
    <w:bookmarkStart w:id="29" w:name="riesgo-dominante-2"/>
    <w:p>
      <w:pPr>
        <w:pStyle w:val="Heading3"/>
      </w:pPr>
      <w:r>
        <w:t xml:space="preserve">Riesgo dominante</w:t>
      </w:r>
    </w:p>
    <w:p>
      <w:pPr>
        <w:pStyle w:val="Compact"/>
        <w:numPr>
          <w:ilvl w:val="0"/>
          <w:numId w:val="1018"/>
        </w:numPr>
      </w:pPr>
      <w:r>
        <w:t xml:space="preserve">Inestabilidad en pagos por pruebas incompletas de webhook.</w:t>
      </w:r>
    </w:p>
    <w:bookmarkEnd w:id="29"/>
    <w:bookmarkStart w:id="30" w:name="mitigación-2"/>
    <w:p>
      <w:pPr>
        <w:pStyle w:val="Heading3"/>
      </w:pPr>
      <w:r>
        <w:t xml:space="preserve">Mitigación</w:t>
      </w:r>
    </w:p>
    <w:p>
      <w:pPr>
        <w:pStyle w:val="Compact"/>
        <w:numPr>
          <w:ilvl w:val="0"/>
          <w:numId w:val="1019"/>
        </w:numPr>
      </w:pPr>
      <w:r>
        <w:t xml:space="preserve">Matriz mínima de casos de pago: éxito, fallo, reintento webhook.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X849a642318bce7bdf19d5902120c92b6aa54f8c"/>
    <w:p>
      <w:pPr>
        <w:pStyle w:val="Heading2"/>
      </w:pPr>
      <w:r>
        <w:t xml:space="preserve">Sprint 3 (Semana 4) — Estabilización y Salida a Piloto Técnico</w:t>
      </w:r>
    </w:p>
    <w:bookmarkStart w:id="32" w:name="objetivos-3"/>
    <w:p>
      <w:pPr>
        <w:pStyle w:val="Heading3"/>
      </w:pPr>
      <w:r>
        <w:t xml:space="preserve">Objetivos</w:t>
      </w:r>
    </w:p>
    <w:p>
      <w:pPr>
        <w:pStyle w:val="Compact"/>
        <w:numPr>
          <w:ilvl w:val="0"/>
          <w:numId w:val="1020"/>
        </w:numPr>
      </w:pPr>
      <w:r>
        <w:t xml:space="preserve">Convertir el flujo implementado en una versión operable.</w:t>
      </w:r>
    </w:p>
    <w:bookmarkEnd w:id="32"/>
    <w:bookmarkStart w:id="33" w:name="backend-3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21"/>
        </w:numPr>
      </w:pPr>
      <w:r>
        <w:t xml:space="preserve">Endurecimiento mínimo de idempotencia y validaciones críticas.</w:t>
      </w:r>
    </w:p>
    <w:p>
      <w:pPr>
        <w:pStyle w:val="Compact"/>
        <w:numPr>
          <w:ilvl w:val="0"/>
          <w:numId w:val="1021"/>
        </w:numPr>
      </w:pPr>
      <w:r>
        <w:t xml:space="preserve">Logging de eventos de pedido y pago.</w:t>
      </w:r>
    </w:p>
    <w:p>
      <w:pPr>
        <w:pStyle w:val="Compact"/>
        <w:numPr>
          <w:ilvl w:val="0"/>
          <w:numId w:val="1021"/>
        </w:numPr>
      </w:pPr>
      <w:r>
        <w:t xml:space="preserve">Corrección de defectos bloqueantes.</w:t>
      </w:r>
    </w:p>
    <w:bookmarkEnd w:id="33"/>
    <w:bookmarkStart w:id="34" w:name="frontend-3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22"/>
        </w:numPr>
      </w:pPr>
      <w:r>
        <w:t xml:space="preserve">Ajustes UX y responsive en rutas críticas.</w:t>
      </w:r>
    </w:p>
    <w:p>
      <w:pPr>
        <w:pStyle w:val="Compact"/>
        <w:numPr>
          <w:ilvl w:val="0"/>
          <w:numId w:val="1022"/>
        </w:numPr>
      </w:pPr>
      <w:r>
        <w:t xml:space="preserve">Corrección de defectos de navegación y formularios.</w:t>
      </w:r>
    </w:p>
    <w:p>
      <w:pPr>
        <w:pStyle w:val="Compact"/>
        <w:numPr>
          <w:ilvl w:val="0"/>
          <w:numId w:val="1022"/>
        </w:numPr>
      </w:pPr>
      <w:r>
        <w:t xml:space="preserve">Preparación de checklist de demo/piloto.</w:t>
      </w:r>
    </w:p>
    <w:bookmarkEnd w:id="34"/>
    <w:bookmarkStart w:id="35" w:name="criterios-de-aceptación-3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23"/>
        </w:numPr>
      </w:pPr>
      <w:r>
        <w:t xml:space="preserve">Flujo completo catálogo -&gt; carrito -&gt; pago -&gt; pedido estable en PRE.</w:t>
      </w:r>
    </w:p>
    <w:p>
      <w:pPr>
        <w:pStyle w:val="Compact"/>
        <w:numPr>
          <w:ilvl w:val="0"/>
          <w:numId w:val="1023"/>
        </w:numPr>
      </w:pPr>
      <w:r>
        <w:t xml:space="preserve">Defectos severidad alta resueltos.</w:t>
      </w:r>
    </w:p>
    <w:p>
      <w:pPr>
        <w:pStyle w:val="Compact"/>
        <w:numPr>
          <w:ilvl w:val="0"/>
          <w:numId w:val="1023"/>
        </w:numPr>
      </w:pPr>
      <w:r>
        <w:t xml:space="preserve">Checklist de salida aprobada por responsables técnicos.</w:t>
      </w:r>
    </w:p>
    <w:bookmarkEnd w:id="35"/>
    <w:bookmarkStart w:id="36" w:name="riesgo-dominante-3"/>
    <w:p>
      <w:pPr>
        <w:pStyle w:val="Heading3"/>
      </w:pPr>
      <w:r>
        <w:t xml:space="preserve">Riesgo dominante</w:t>
      </w:r>
    </w:p>
    <w:p>
      <w:pPr>
        <w:pStyle w:val="Compact"/>
        <w:numPr>
          <w:ilvl w:val="0"/>
          <w:numId w:val="1024"/>
        </w:numPr>
      </w:pPr>
      <w:r>
        <w:t xml:space="preserve">Acumulación de deuda técnica al cierre.</w:t>
      </w:r>
    </w:p>
    <w:bookmarkEnd w:id="36"/>
    <w:bookmarkStart w:id="37" w:name="mitigación-3"/>
    <w:p>
      <w:pPr>
        <w:pStyle w:val="Heading3"/>
      </w:pPr>
      <w:r>
        <w:t xml:space="preserve">Mitigación</w:t>
      </w:r>
    </w:p>
    <w:p>
      <w:pPr>
        <w:pStyle w:val="Compact"/>
        <w:numPr>
          <w:ilvl w:val="0"/>
          <w:numId w:val="1025"/>
        </w:numPr>
      </w:pPr>
      <w:r>
        <w:t xml:space="preserve">Congelación de nuevas features desde mitad de semana 4.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1c006d161060debf0c70de6574ca1d31b6ea012"/>
    <w:p>
      <w:pPr>
        <w:pStyle w:val="Heading2"/>
      </w:pPr>
      <w:r>
        <w:t xml:space="preserve">Backlog diferido explícito (No entra en 4 semanas)</w:t>
      </w:r>
    </w:p>
    <w:p>
      <w:pPr>
        <w:pStyle w:val="Compact"/>
        <w:numPr>
          <w:ilvl w:val="0"/>
          <w:numId w:val="1026"/>
        </w:numPr>
      </w:pPr>
      <w:r>
        <w:t xml:space="preserve">Integración Odoo completa.</w:t>
      </w:r>
    </w:p>
    <w:p>
      <w:pPr>
        <w:pStyle w:val="Compact"/>
        <w:numPr>
          <w:ilvl w:val="0"/>
          <w:numId w:val="1026"/>
        </w:numPr>
      </w:pPr>
      <w:r>
        <w:t xml:space="preserve">Settlement engine completo y aprobaciones financieras avanzadas.</w:t>
      </w:r>
    </w:p>
    <w:p>
      <w:pPr>
        <w:pStyle w:val="Compact"/>
        <w:numPr>
          <w:ilvl w:val="0"/>
          <w:numId w:val="1026"/>
        </w:numPr>
      </w:pPr>
      <w:r>
        <w:t xml:space="preserve">Incidencias/SLA completo y automatizaciones postventa.</w:t>
      </w:r>
    </w:p>
    <w:p>
      <w:pPr>
        <w:pStyle w:val="Compact"/>
        <w:numPr>
          <w:ilvl w:val="0"/>
          <w:numId w:val="1026"/>
        </w:numPr>
      </w:pPr>
      <w:r>
        <w:t xml:space="preserve">Reporting/KPIs financieros y auditoría inmutable completa.</w:t>
      </w:r>
    </w:p>
    <w:p>
      <w:pPr>
        <w:pStyle w:val="Compact"/>
        <w:numPr>
          <w:ilvl w:val="0"/>
          <w:numId w:val="1026"/>
        </w:numPr>
      </w:pPr>
      <w:r>
        <w:t xml:space="preserve">Hardening enterprise integral (MFA, OWASP full, observabilidad avanzada).</w:t>
      </w:r>
    </w:p>
    <w:p>
      <w:r>
        <w:pict>
          <v:rect style="width:0;height:1.5pt" o:hralign="center" o:hrstd="t" o:hr="t"/>
        </w:pict>
      </w:r>
    </w:p>
    <w:bookmarkEnd w:id="39"/>
    <w:bookmarkStart w:id="40" w:name="gobernanza-de-alcance"/>
    <w:p>
      <w:pPr>
        <w:pStyle w:val="Heading2"/>
      </w:pPr>
      <w:r>
        <w:t xml:space="preserve">Gobernanza de alcance</w:t>
      </w:r>
    </w:p>
    <w:p>
      <w:pPr>
        <w:pStyle w:val="FirstParagraph"/>
      </w:pPr>
      <w:r>
        <w:t xml:space="preserve">Para proteger el plazo de 4 semanas:</w:t>
      </w:r>
    </w:p>
    <w:p>
      <w:pPr>
        <w:pStyle w:val="Compact"/>
        <w:numPr>
          <w:ilvl w:val="0"/>
          <w:numId w:val="1027"/>
        </w:numPr>
      </w:pPr>
      <w:r>
        <w:t xml:space="preserve">Toda nueva petición pasa a backlog fase 2.</w:t>
      </w:r>
    </w:p>
    <w:p>
      <w:pPr>
        <w:pStyle w:val="Compact"/>
        <w:numPr>
          <w:ilvl w:val="0"/>
          <w:numId w:val="1027"/>
        </w:numPr>
      </w:pPr>
      <w:r>
        <w:t xml:space="preserve">Solo se aceptan cambios de corrección crítica del flujo MVP.</w:t>
      </w:r>
    </w:p>
    <w:p>
      <w:pPr>
        <w:pStyle w:val="Compact"/>
        <w:numPr>
          <w:ilvl w:val="0"/>
          <w:numId w:val="1027"/>
        </w:numPr>
      </w:pPr>
      <w:r>
        <w:t xml:space="preserve">Se realiza demo semanal y acta de alcance cerrada.</w:t>
      </w:r>
    </w:p>
    <w:p>
      <w:r>
        <w:pict>
          <v:rect style="width:0;height:1.5pt" o:hralign="center" o:hrstd="t" o:hr="t"/>
        </w:pict>
      </w:r>
    </w:p>
    <w:bookmarkEnd w:id="40"/>
    <w:bookmarkStart w:id="41" w:name="hitos-de-dirección"/>
    <w:p>
      <w:pPr>
        <w:pStyle w:val="Heading2"/>
      </w:pPr>
      <w:r>
        <w:t xml:space="preserve">Hitos de dirección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Base MercurJS activa</w:t>
            </w:r>
          </w:p>
        </w:tc>
        <w:tc>
          <w:tcPr/>
          <w:p>
            <w:pPr>
              <w:pStyle w:val="Compact"/>
            </w:pPr>
            <w:r>
              <w:t xml:space="preserve">Despliegue DEV/PRE + pipeline verde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Operación seller/catálogo</w:t>
            </w:r>
          </w:p>
        </w:tc>
        <w:tc>
          <w:tcPr/>
          <w:p>
            <w:pPr>
              <w:pStyle w:val="Compact"/>
            </w:pPr>
            <w:r>
              <w:t xml:space="preserve">Seller aprobado + oferta navegable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Compra completa</w:t>
            </w:r>
          </w:p>
        </w:tc>
        <w:tc>
          <w:tcPr/>
          <w:p>
            <w:pPr>
              <w:pStyle w:val="Compact"/>
            </w:pPr>
            <w:r>
              <w:t xml:space="preserve">Pedido pagado y split registrado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MVP implantado</w:t>
            </w:r>
          </w:p>
        </w:tc>
        <w:tc>
          <w:tcPr/>
          <w:p>
            <w:pPr>
              <w:pStyle w:val="Compact"/>
            </w:pPr>
            <w:r>
              <w:t xml:space="preserve">Checklist salida + demo end-to-end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esultado-esperado-al-día-20-hábil"/>
    <w:p>
      <w:pPr>
        <w:pStyle w:val="Heading2"/>
      </w:pPr>
      <w:r>
        <w:t xml:space="preserve">Resultado esperado al día 20 hábil</w:t>
      </w:r>
    </w:p>
    <w:p>
      <w:pPr>
        <w:pStyle w:val="FirstParagraph"/>
      </w:pPr>
      <w:r>
        <w:t xml:space="preserve">MercurJS 2.x implantado con operación marketplace básica real y trazable, listo para</w:t>
      </w:r>
      <w:r>
        <w:t xml:space="preserve"> </w:t>
      </w:r>
      <w:r>
        <w:t xml:space="preserve">piloto técnico controlado y entrada inmediata a fase 2 de ampliación funcional.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2026-07-31T08:47:05Z</dcterms:created>
  <dcterms:modified xsi:type="dcterms:W3CDTF">2026-07-31T08:47:05Z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