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SOP Repository — Application Lifecycle Documentation</w:t>
      </w:r>
    </w:p>
    <w:p>
      <w:r>
        <w:rPr>
          <w:i/>
          <w:color w:val="595959"/>
          <w:sz w:val="24"/>
        </w:rPr>
        <w:t>Village of Mundelein IT — SharePoint Framework Web Part</w:t>
      </w:r>
    </w:p>
    <w:p/>
    <w:p>
      <w:pPr>
        <w:pStyle w:val="Heading1"/>
      </w:pPr>
      <w:r>
        <w:t>SOP Repository — Application Lifecycle Documentation</w:t>
      </w:r>
    </w:p>
    <w:p>
      <w:pPr>
        <w:pStyle w:val="Heading2"/>
      </w:pPr>
      <w:r>
        <w:t>1. What this application is</w:t>
      </w:r>
    </w:p>
    <w:p>
      <w:r>
        <w:t xml:space="preserve">The </w:t>
      </w:r>
      <w:r>
        <w:rPr>
          <w:b/>
        </w:rPr>
        <w:t>SOP Repository</w:t>
      </w:r>
      <w:r>
        <w:t xml:space="preserve"> web part is a SharePoint Framework (SPFx) client-side web part built for Village of Mundelein IT. It is embedded on a SharePoint page and gives employees a searchable, role-filtered view of IT Standard Operating Procedures (SOPs) and Job Descriptions stored in SharePoint, plus "gap" detection for processes that don't yet have a documented SOP.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Solution 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sop-repository</w:t>
            </w:r>
          </w:p>
        </w:tc>
      </w:tr>
      <w:tr>
        <w:tc>
          <w:tcPr>
            <w:tcW w:type="dxa" w:w="4320"/>
          </w:tcPr>
          <w:p>
            <w:r>
              <w:t>Web part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SopRepositoryWebPart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20"/>
              </w:rPr>
              <w:t>ISopRepositoryWebPartProps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sharepoint/solution/sop-repository.sppkg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Village of Mundelein IT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communityessentials.sharepoint.com</w:t>
            </w:r>
          </w:p>
        </w:tc>
      </w:tr>
    </w:tbl>
    <w:p/>
    <w:p>
      <w:pPr>
        <w:pStyle w:val="Heading2"/>
      </w:pPr>
      <w:r>
        <w:t>2. How it was built</w:t>
      </w:r>
    </w:p>
    <w:p>
      <w:pPr>
        <w:pStyle w:val="Heading3"/>
      </w:pPr>
      <w:r>
        <w:t>Tooling and scaffolding</w:t>
      </w:r>
    </w:p>
    <w:p>
      <w:pPr>
        <w:pStyle w:val="ListBullet"/>
      </w:pPr>
      <w:r>
        <w:t>Generated with the Microsoft SharePoint Framework Yeoman generator (</w:t>
      </w:r>
      <w:r>
        <w:rPr>
          <w:rFonts w:ascii="Consolas" w:hAnsi="Consolas"/>
          <w:color w:val="C7254E"/>
          <w:sz w:val="20"/>
        </w:rPr>
        <w:t>@microsoft/generator-sharepoint</w:t>
      </w:r>
      <w:r>
        <w:t xml:space="preserve"> v1.20.0 — see </w:t>
      </w:r>
      <w:r>
        <w:rPr>
          <w:rFonts w:ascii="Consolas" w:hAnsi="Consolas"/>
          <w:color w:val="C7254E"/>
          <w:sz w:val="20"/>
        </w:rPr>
        <w:t>.yo-rc.json</w:t>
      </w:r>
      <w:r>
        <w:t>), targeting SharePoint Online (</w:t>
      </w:r>
      <w:r>
        <w:rPr>
          <w:rFonts w:ascii="Consolas" w:hAnsi="Consolas"/>
          <w:color w:val="C7254E"/>
          <w:sz w:val="20"/>
        </w:rPr>
        <w:t>environment: "spo"</w:t>
      </w:r>
      <w:r>
        <w:t>), single web part component.</w:t>
      </w:r>
    </w:p>
    <w:p>
      <w:pPr>
        <w:pStyle w:val="ListBullet"/>
      </w:pPr>
      <w:r>
        <w:t xml:space="preserve">Language/framework: </w:t>
      </w:r>
      <w:r>
        <w:rPr>
          <w:b/>
        </w:rPr>
        <w:t>React 17 + TypeScript</w:t>
      </w:r>
      <w:r>
        <w:t>, compiled with the SPFx build pipeline (</w:t>
      </w:r>
      <w:r>
        <w:rPr>
          <w:rFonts w:ascii="Consolas" w:hAnsi="Consolas"/>
          <w:color w:val="C7254E"/>
          <w:sz w:val="20"/>
        </w:rPr>
        <w:t>@microsoft/sp-build-web</w:t>
      </w:r>
      <w:r>
        <w:t xml:space="preserve">) and orchestrated with </w:t>
      </w:r>
      <w:r>
        <w:rPr>
          <w:b/>
        </w:rPr>
        <w:t>Gulp 4</w:t>
      </w:r>
      <w:r>
        <w:t>.</w:t>
      </w:r>
    </w:p>
    <w:p>
      <w:pPr>
        <w:pStyle w:val="ListBullet"/>
      </w:pPr>
      <w:r>
        <w:t xml:space="preserve">UI library: </w:t>
      </w:r>
      <w:r>
        <w:rPr>
          <w:b/>
        </w:rPr>
        <w:t>Fluent UI (</w:t>
      </w:r>
      <w:r>
        <w:rPr>
          <w:rFonts w:ascii="Consolas" w:hAnsi="Consolas"/>
          <w:b/>
          <w:color w:val="C7254E"/>
          <w:sz w:val="20"/>
        </w:rPr>
        <w:t>@fluentui/react</w:t>
      </w:r>
      <w:r>
        <w:rPr>
          <w:b/>
        </w:rPr>
        <w:t xml:space="preserve"> v8)</w:t>
      </w:r>
      <w:r>
        <w:t xml:space="preserve"> for controls, cards, panels.</w:t>
      </w:r>
    </w:p>
    <w:p>
      <w:pPr>
        <w:pStyle w:val="ListBullet"/>
      </w:pPr>
      <w:r>
        <w:t xml:space="preserve">Data access: </w:t>
      </w:r>
      <w:r>
        <w:rPr>
          <w:b/>
        </w:rPr>
        <w:t>PnP.js</w:t>
      </w:r>
      <w:r>
        <w:t xml:space="preserve"> (</w:t>
      </w:r>
      <w:r>
        <w:rPr>
          <w:rFonts w:ascii="Consolas" w:hAnsi="Consolas"/>
          <w:color w:val="C7254E"/>
          <w:sz w:val="20"/>
        </w:rPr>
        <w:t>@pnp/sp</w:t>
      </w:r>
      <w:r>
        <w:t xml:space="preserve">, </w:t>
      </w:r>
      <w:r>
        <w:rPr>
          <w:rFonts w:ascii="Consolas" w:hAnsi="Consolas"/>
          <w:color w:val="C7254E"/>
          <w:sz w:val="20"/>
        </w:rPr>
        <w:t>@pnp/graph</w:t>
      </w:r>
      <w:r>
        <w:t>) using the SPFx auth context (</w:t>
      </w:r>
      <w:r>
        <w:rPr>
          <w:rFonts w:ascii="Consolas" w:hAnsi="Consolas"/>
          <w:color w:val="C7254E"/>
          <w:sz w:val="20"/>
        </w:rPr>
        <w:t>SPFx(context)</w:t>
      </w:r>
      <w:r>
        <w:t>), so no separate app registration/credentials are needed — it runs with the signed-in user's SharePoint permissions.</w:t>
      </w:r>
    </w:p>
    <w:p>
      <w:pPr>
        <w:pStyle w:val="Heading3"/>
      </w:pPr>
      <w:r>
        <w:t>Code architecture (</w:t>
      </w:r>
      <w:r>
        <w:rPr>
          <w:rFonts w:ascii="Consolas" w:hAnsi="Consolas"/>
          <w:color w:val="C7254E"/>
          <w:sz w:val="20"/>
        </w:rPr>
        <w:t>src/webparts/sopRepository/</w:t>
      </w:r>
      <w:r>
        <w:t>)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SopRepositoryWebPart.ts        Web part entry point + property pane (site URL, list names, toggles)</w:t>
        <w:br/>
        <w:t>components/</w:t>
        <w:br/>
        <w:t xml:space="preserve">  SopRepository.tsx            Root React component — state, filtering, layout</w:t>
        <w:br/>
        <w:t xml:space="preserve">  RoleSelector/                Role/department dropdown filter</w:t>
        <w:br/>
        <w:t xml:space="preserve">  SopCard/                     Card UI for an individual SOP/document</w:t>
        <w:br/>
        <w:t xml:space="preserve">  GapCard/                     Card UI shown when a process has no SOP yet</w:t>
        <w:br/>
        <w:t xml:space="preserve">  SummaryBar/                  Counts/summary strip (approved, draft, gaps, etc.)</w:t>
        <w:br/>
        <w:t xml:space="preserve">  DocumentPreviewPanel/        Slide-out panel for previewing/opening a document</w:t>
        <w:br/>
        <w:t>hooks/                         Custom React hooks used by the components</w:t>
        <w:br/>
        <w:t>models/</w:t>
        <w:br/>
        <w:t xml:space="preserve">  IRole.ts                     Roles list row shape</w:t>
        <w:br/>
        <w:t xml:space="preserve">  IProcess.ts                  Process list row shape (role -&gt; process -&gt; doc link)</w:t>
        <w:br/>
        <w:t xml:space="preserve">  ISopDocument.ts               SOP Process Library row shape (the actual documents)</w:t>
        <w:br/>
        <w:t>services/</w:t>
        <w:br/>
        <w:t xml:space="preserve">  SopService.ts                All SharePoint REST/PnP.js data-access logic</w:t>
      </w:r>
    </w:p>
    <w:p>
      <w:pPr>
        <w:pStyle w:val="Heading3"/>
      </w:pPr>
      <w:r>
        <w:t>Data model (SharePoint-side)</w:t>
      </w:r>
    </w:p>
    <w:p>
      <w:r>
        <w:t xml:space="preserve">The web part reads from three SharePoint objects, all on a configurable "SOP site" (default </w:t>
      </w:r>
      <w:r>
        <w:rPr>
          <w:rFonts w:ascii="Consolas" w:hAnsi="Consolas"/>
          <w:color w:val="C7254E"/>
          <w:sz w:val="20"/>
        </w:rPr>
        <w:t>SOPProcessManagement</w:t>
      </w:r>
      <w:r>
        <w:t xml:space="preserve"> site):</w:t>
      </w:r>
    </w:p>
    <w:p>
      <w:pPr>
        <w:pStyle w:val="ListNumber"/>
      </w:pPr>
      <w:r>
        <w:rPr>
          <w:b/>
        </w:rPr>
        <w:t>Roles</w:t>
      </w:r>
      <w:r>
        <w:t xml:space="preserve"> list — one row per job role/department, </w:t>
      </w:r>
      <w:r>
        <w:rPr>
          <w:rFonts w:ascii="Consolas" w:hAnsi="Consolas"/>
          <w:color w:val="C7254E"/>
          <w:sz w:val="20"/>
        </w:rPr>
        <w:t>Active</w:t>
      </w:r>
      <w:r>
        <w:t xml:space="preserve"> flag controls whether it shows in the role filter.</w:t>
      </w:r>
    </w:p>
    <w:p>
      <w:pPr>
        <w:pStyle w:val="ListNumber"/>
      </w:pPr>
      <w:r>
        <w:rPr>
          <w:b/>
        </w:rPr>
        <w:t>Process</w:t>
      </w:r>
      <w:r>
        <w:t xml:space="preserve"> list — maps a </w:t>
      </w:r>
      <w:r>
        <w:rPr>
          <w:rFonts w:ascii="Consolas" w:hAnsi="Consolas"/>
          <w:color w:val="C7254E"/>
          <w:sz w:val="20"/>
        </w:rPr>
        <w:t>Role (Choice)</w:t>
      </w:r>
      <w:r>
        <w:t xml:space="preserve"> value to a process </w:t>
      </w:r>
      <w:r>
        <w:rPr>
          <w:rFonts w:ascii="Consolas" w:hAnsi="Consolas"/>
          <w:color w:val="C7254E"/>
          <w:sz w:val="20"/>
        </w:rPr>
        <w:t>Title</w:t>
      </w:r>
      <w:r>
        <w:t xml:space="preserve"> and an optional </w:t>
      </w:r>
      <w:r>
        <w:rPr>
          <w:rFonts w:ascii="Consolas" w:hAnsi="Consolas"/>
          <w:color w:val="C7254E"/>
          <w:sz w:val="20"/>
        </w:rPr>
        <w:t>Document Link</w:t>
      </w:r>
      <w:r>
        <w:t xml:space="preserve"> + </w:t>
      </w:r>
      <w:r>
        <w:rPr>
          <w:rFonts w:ascii="Consolas" w:hAnsi="Consolas"/>
          <w:color w:val="C7254E"/>
          <w:sz w:val="20"/>
        </w:rPr>
        <w:t>Document Type</w:t>
      </w:r>
      <w:r>
        <w:t xml:space="preserve">. If </w:t>
      </w:r>
      <w:r>
        <w:rPr>
          <w:rFonts w:ascii="Consolas" w:hAnsi="Consolas"/>
          <w:color w:val="C7254E"/>
          <w:sz w:val="20"/>
        </w:rPr>
        <w:t>Document Link</w:t>
      </w:r>
      <w:r>
        <w:t xml:space="preserve"> is empty, </w:t>
      </w:r>
      <w:r>
        <w:rPr>
          <w:rFonts w:ascii="Consolas" w:hAnsi="Consolas"/>
          <w:color w:val="C7254E"/>
          <w:sz w:val="20"/>
        </w:rPr>
        <w:t>SopRepository.tsx</w:t>
      </w:r>
      <w:r>
        <w:t xml:space="preserve"> treats that process as a </w:t>
      </w:r>
      <w:r>
        <w:rPr>
          <w:b/>
        </w:rPr>
        <w:t>gap</w:t>
      </w:r>
      <w:r>
        <w:t xml:space="preserve"> (missing SOP).</w:t>
      </w:r>
    </w:p>
    <w:p>
      <w:pPr>
        <w:pStyle w:val="ListNumber"/>
      </w:pPr>
      <w:r>
        <w:rPr>
          <w:b/>
        </w:rPr>
        <w:t>SOP Process Library</w:t>
      </w:r>
      <w:r>
        <w:t xml:space="preserve"> (document library, default name </w:t>
      </w:r>
      <w:r>
        <w:rPr>
          <w:rFonts w:ascii="Consolas" w:hAnsi="Consolas"/>
          <w:color w:val="C7254E"/>
          <w:sz w:val="20"/>
        </w:rPr>
        <w:t>SOP Process Library</w:t>
      </w:r>
      <w:r>
        <w:t xml:space="preserve">) — the actual SOP/Job Description files, tagged with </w:t>
      </w:r>
      <w:r>
        <w:rPr>
          <w:rFonts w:ascii="Consolas" w:hAnsi="Consolas"/>
          <w:color w:val="C7254E"/>
          <w:sz w:val="20"/>
        </w:rPr>
        <w:t>Role (Choice)</w:t>
      </w:r>
      <w:r>
        <w:t xml:space="preserve">, </w:t>
      </w:r>
      <w:r>
        <w:rPr>
          <w:rFonts w:ascii="Consolas" w:hAnsi="Consolas"/>
          <w:color w:val="C7254E"/>
          <w:sz w:val="20"/>
        </w:rPr>
        <w:t>Process</w:t>
      </w:r>
      <w:r>
        <w:t xml:space="preserve">, </w:t>
      </w:r>
      <w:r>
        <w:rPr>
          <w:rFonts w:ascii="Consolas" w:hAnsi="Consolas"/>
          <w:color w:val="C7254E"/>
          <w:sz w:val="20"/>
        </w:rPr>
        <w:t>Document Type</w:t>
      </w:r>
      <w:r>
        <w:t xml:space="preserve">, </w:t>
      </w:r>
      <w:r>
        <w:rPr>
          <w:rFonts w:ascii="Consolas" w:hAnsi="Consolas"/>
          <w:color w:val="C7254E"/>
          <w:sz w:val="20"/>
        </w:rPr>
        <w:t>Status</w:t>
      </w:r>
      <w:r>
        <w:t xml:space="preserve"> (Approved/Draft), and </w:t>
      </w:r>
      <w:r>
        <w:rPr>
          <w:rFonts w:ascii="Consolas" w:hAnsi="Consolas"/>
          <w:color w:val="C7254E"/>
          <w:sz w:val="20"/>
        </w:rPr>
        <w:t>Review Date</w:t>
      </w:r>
      <w:r>
        <w:t>.</w:t>
      </w:r>
    </w:p>
    <w:p>
      <w:r>
        <w:t xml:space="preserve">Field internal names are intentionally hard-coded as constants at the top of </w:t>
      </w:r>
      <w:r>
        <w:rPr>
          <w:rFonts w:ascii="Consolas" w:hAnsi="Consolas"/>
          <w:color w:val="C7254E"/>
          <w:sz w:val="20"/>
        </w:rPr>
        <w:t>SopService.ts</w:t>
      </w:r>
      <w:r>
        <w:t xml:space="preserve"> because SharePoint encodes spaces/parentheses in internal names (e.g. </w:t>
      </w:r>
      <w:r>
        <w:rPr>
          <w:rFonts w:ascii="Consolas" w:hAnsi="Consolas"/>
          <w:color w:val="C7254E"/>
          <w:sz w:val="20"/>
        </w:rPr>
        <w:t>Role (Choice)</w:t>
      </w:r>
      <w:r>
        <w:t xml:space="preserve"> → </w:t>
      </w:r>
      <w:r>
        <w:rPr>
          <w:rFonts w:ascii="Consolas" w:hAnsi="Consolas"/>
          <w:color w:val="C7254E"/>
          <w:sz w:val="20"/>
        </w:rPr>
        <w:t>Role_x0020__x0028_Choice_x0029_</w:t>
      </w:r>
      <w:r>
        <w:t>). If a column is renamed or recreated in SharePoint, these constants must be updated (see the update guide).</w:t>
      </w:r>
    </w:p>
    <w:p>
      <w:pPr>
        <w:pStyle w:val="Heading3"/>
      </w:pPr>
      <w:r>
        <w:t>Configuration (property pane)</w:t>
      </w:r>
    </w:p>
    <w:p>
      <w:r>
        <w:t>All SharePoint locations are configurable per page instance, not hard-coded, via the web part property pane: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sopSiteUrl</w:t>
      </w:r>
      <w:r>
        <w:t xml:space="preserve"> — site collection/site containing the lists/library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libraryName</w:t>
      </w:r>
      <w:r>
        <w:t xml:space="preserve"> — SOP Process Library name (default </w:t>
      </w:r>
      <w:r>
        <w:rPr>
          <w:rFonts w:ascii="Consolas" w:hAnsi="Consolas"/>
          <w:color w:val="C7254E"/>
          <w:sz w:val="20"/>
        </w:rPr>
        <w:t>SOP Process Library</w:t>
      </w:r>
      <w:r>
        <w:t>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processListName</w:t>
      </w:r>
      <w:r>
        <w:t xml:space="preserve"> — Process list name (default </w:t>
      </w:r>
      <w:r>
        <w:rPr>
          <w:rFonts w:ascii="Consolas" w:hAnsi="Consolas"/>
          <w:color w:val="C7254E"/>
          <w:sz w:val="20"/>
        </w:rPr>
        <w:t>Process</w:t>
      </w:r>
      <w:r>
        <w:t>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rolesListName</w:t>
      </w:r>
      <w:r>
        <w:t xml:space="preserve"> — Roles list name (default </w:t>
      </w:r>
      <w:r>
        <w:rPr>
          <w:rFonts w:ascii="Consolas" w:hAnsi="Consolas"/>
          <w:color w:val="C7254E"/>
          <w:sz w:val="20"/>
        </w:rPr>
        <w:t>Roles</w:t>
      </w:r>
      <w:r>
        <w:t>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showGaps</w:t>
      </w:r>
      <w:r>
        <w:t xml:space="preserve"> — toggle gap cards on/off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defaultRole</w:t>
      </w:r>
      <w:r>
        <w:t xml:space="preserve"> — override auto-detected role (falls back to the signed-in user's Azure AD job title when blank)</w:t>
      </w:r>
    </w:p>
    <w:p>
      <w:pPr>
        <w:pStyle w:val="Heading3"/>
      </w:pPr>
      <w:r>
        <w:t>Packaging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gulp bundle --ship</w:t>
      </w:r>
      <w:r>
        <w:t xml:space="preserve"> produces production JS bundles under </w:t>
      </w:r>
      <w:r>
        <w:rPr>
          <w:rFonts w:ascii="Consolas" w:hAnsi="Consolas"/>
          <w:color w:val="C7254E"/>
          <w:sz w:val="20"/>
        </w:rPr>
        <w:t>dist/</w:t>
      </w:r>
      <w:r>
        <w:t xml:space="preserve"> / </w:t>
      </w:r>
      <w:r>
        <w:rPr>
          <w:rFonts w:ascii="Consolas" w:hAnsi="Consolas"/>
          <w:color w:val="C7254E"/>
          <w:sz w:val="20"/>
        </w:rPr>
        <w:t>lib/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gulp package-solution --ship</w:t>
      </w:r>
      <w:r>
        <w:t xml:space="preserve"> produces the deployable package at </w:t>
      </w:r>
      <w:r>
        <w:rPr>
          <w:rFonts w:ascii="Consolas" w:hAnsi="Consolas"/>
          <w:color w:val="C7254E"/>
          <w:sz w:val="20"/>
        </w:rPr>
        <w:t>sharepoint/solution/sop-repository.sppkg</w:t>
      </w:r>
      <w:r>
        <w:t xml:space="preserve">, described by </w:t>
      </w:r>
      <w:r>
        <w:rPr>
          <w:rFonts w:ascii="Consolas" w:hAnsi="Consolas"/>
          <w:color w:val="C7254E"/>
          <w:sz w:val="20"/>
        </w:rPr>
        <w:t>config/package-solution.json</w:t>
      </w:r>
      <w:r>
        <w:t xml:space="preserve"> (solution id </w:t>
      </w:r>
      <w:r>
        <w:rPr>
          <w:rFonts w:ascii="Consolas" w:hAnsi="Consolas"/>
          <w:color w:val="C7254E"/>
          <w:sz w:val="20"/>
        </w:rPr>
        <w:t>a1b2c3d4-e5f6-7890-abcd-ef1234567890</w:t>
      </w:r>
      <w:r>
        <w:t xml:space="preserve">, currently version </w:t>
      </w:r>
      <w:r>
        <w:rPr>
          <w:rFonts w:ascii="Consolas" w:hAnsi="Consolas"/>
          <w:color w:val="C7254E"/>
          <w:sz w:val="20"/>
        </w:rPr>
        <w:t>1.0.0.0</w:t>
      </w:r>
      <w:r>
        <w:t xml:space="preserve">, </w:t>
      </w:r>
      <w:r>
        <w:rPr>
          <w:rFonts w:ascii="Consolas" w:hAnsi="Consolas"/>
          <w:color w:val="C7254E"/>
          <w:sz w:val="20"/>
        </w:rPr>
        <w:t>skipFeatureDeployment: true</w:t>
      </w:r>
      <w:r>
        <w:t>).</w:t>
      </w:r>
    </w:p>
    <w:p>
      <w:pPr>
        <w:pStyle w:val="ListBullet"/>
      </w:pPr>
      <w:r>
        <w:t xml:space="preserve">The built </w:t>
      </w:r>
      <w:r>
        <w:rPr>
          <w:rFonts w:ascii="Consolas" w:hAnsi="Consolas"/>
          <w:color w:val="C7254E"/>
          <w:sz w:val="20"/>
        </w:rPr>
        <w:t>.sppkg</w:t>
      </w:r>
      <w:r>
        <w:t xml:space="preserve"> is committed to the repo under </w:t>
      </w:r>
      <w:r>
        <w:rPr>
          <w:rFonts w:ascii="Consolas" w:hAnsi="Consolas"/>
          <w:color w:val="C7254E"/>
          <w:sz w:val="20"/>
        </w:rPr>
        <w:t>sharepoint/solution/</w:t>
      </w:r>
      <w:r>
        <w:t xml:space="preserve"> so it can be uploaded directly to a tenant/site App Catalog without requiring a local build.</w:t>
      </w:r>
    </w:p>
    <w:p>
      <w:pPr>
        <w:pStyle w:val="Heading2"/>
      </w:pPr>
      <w:r>
        <w:t>3. Runtime lifecycle (what happens when the page loads)</w:t>
      </w:r>
    </w:p>
    <w:p>
      <w:pPr>
        <w:pStyle w:val="ListNumber"/>
      </w:pPr>
      <w:r>
        <w:t>SharePoint loads the web part manifest/bundle referenced by the App Catalog deployment.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SopRepositoryWebPart.onInit()</w:t>
      </w:r>
      <w:r>
        <w:t xml:space="preserve"> runs, then </w:t>
      </w:r>
      <w:r>
        <w:rPr>
          <w:rFonts w:ascii="Consolas" w:hAnsi="Consolas"/>
          <w:color w:val="C7254E"/>
          <w:sz w:val="20"/>
        </w:rPr>
        <w:t>_initService()</w:t>
      </w:r>
      <w:r>
        <w:t xml:space="preserve"> builds a </w:t>
      </w:r>
      <w:r>
        <w:rPr>
          <w:rFonts w:ascii="Consolas" w:hAnsi="Consolas"/>
          <w:color w:val="C7254E"/>
          <w:sz w:val="20"/>
        </w:rPr>
        <w:t>SopService</w:t>
      </w:r>
      <w:r>
        <w:t xml:space="preserve"> pointed at the configured </w:t>
      </w:r>
      <w:r>
        <w:rPr>
          <w:rFonts w:ascii="Consolas" w:hAnsi="Consolas"/>
          <w:color w:val="C7254E"/>
          <w:sz w:val="20"/>
        </w:rPr>
        <w:t>sopSiteUrl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render()</w:t>
      </w:r>
      <w:r>
        <w:t xml:space="preserve"> creates the React tree (</w:t>
      </w:r>
      <w:r>
        <w:rPr>
          <w:rFonts w:ascii="Consolas" w:hAnsi="Consolas"/>
          <w:color w:val="C7254E"/>
          <w:sz w:val="20"/>
        </w:rPr>
        <w:t>SopRepository.tsx</w:t>
      </w:r>
      <w:r>
        <w:t>), passing the service and configuration as props.</w:t>
      </w:r>
    </w:p>
    <w:p>
      <w:pPr>
        <w:pStyle w:val="ListNumber"/>
      </w:pPr>
      <w:r>
        <w:t xml:space="preserve">The component loads Roles, determines the active role (from </w:t>
      </w:r>
      <w:r>
        <w:rPr>
          <w:rFonts w:ascii="Consolas" w:hAnsi="Consolas"/>
          <w:color w:val="C7254E"/>
          <w:sz w:val="20"/>
        </w:rPr>
        <w:t>defaultRole</w:t>
      </w:r>
      <w:r>
        <w:t xml:space="preserve"> or the user's Azure AD job title via Graph/SPFx context), then loads Processes and Documents for that role.</w:t>
      </w:r>
    </w:p>
    <w:p>
      <w:pPr>
        <w:pStyle w:val="ListNumber"/>
      </w:pPr>
      <w:r>
        <w:t xml:space="preserve">The component merges Process + Document data: any process without a matching document becomes a </w:t>
      </w:r>
      <w:r>
        <w:rPr>
          <w:b/>
        </w:rPr>
        <w:t>Gap</w:t>
      </w:r>
      <w:r>
        <w:t xml:space="preserve"> card; documents render as </w:t>
      </w:r>
      <w:r>
        <w:rPr>
          <w:b/>
        </w:rPr>
        <w:t>SopCard</w:t>
      </w:r>
      <w:r>
        <w:t xml:space="preserve"> items; a </w:t>
      </w:r>
      <w:r>
        <w:rPr>
          <w:b/>
        </w:rPr>
        <w:t>SummaryBar</w:t>
      </w:r>
      <w:r>
        <w:t xml:space="preserve"> totals counts; a </w:t>
      </w:r>
      <w:r>
        <w:rPr>
          <w:b/>
        </w:rPr>
        <w:t>DocumentPreviewPanel</w:t>
      </w:r>
      <w:r>
        <w:t xml:space="preserve"> opens on demand to preview/open a selected document.</w:t>
      </w:r>
    </w:p>
    <w:p>
      <w:pPr>
        <w:pStyle w:val="ListNumber"/>
      </w:pPr>
      <w:r>
        <w:t xml:space="preserve">Property pane changes (site URL, list names, toggles) trigger </w:t>
      </w:r>
      <w:r>
        <w:rPr>
          <w:rFonts w:ascii="Consolas" w:hAnsi="Consolas"/>
          <w:color w:val="C7254E"/>
          <w:sz w:val="20"/>
        </w:rPr>
        <w:t>render()</w:t>
      </w:r>
      <w:r>
        <w:t xml:space="preserve"> again, rebuilding the service and refreshing data.</w:t>
      </w:r>
    </w:p>
    <w:p>
      <w:pPr>
        <w:pStyle w:val="Heading2"/>
      </w:pPr>
      <w:r>
        <w:t>4. Environments / deployment targets</w:t>
      </w:r>
    </w:p>
    <w:p>
      <w:pPr>
        <w:pStyle w:val="ListBullet"/>
      </w:pPr>
      <w:r>
        <w:rPr>
          <w:b/>
        </w:rPr>
        <w:t>Local dev</w:t>
      </w:r>
      <w:r>
        <w:t xml:space="preserve">: </w:t>
      </w:r>
      <w:r>
        <w:rPr>
          <w:rFonts w:ascii="Consolas" w:hAnsi="Consolas"/>
          <w:color w:val="C7254E"/>
          <w:sz w:val="20"/>
        </w:rPr>
        <w:t>gulp serve</w:t>
      </w:r>
      <w:r>
        <w:t xml:space="preserve"> — SPFx local workbench (hot reload), useful for isolated UI iteration but SharePoint data calls still require it to run in the context of a real SharePoint page (hosted workbench) for auth to work against real lists.</w:t>
      </w:r>
    </w:p>
    <w:p>
      <w:pPr>
        <w:pStyle w:val="ListBullet"/>
      </w:pPr>
      <w:r>
        <w:rPr>
          <w:b/>
        </w:rPr>
        <w:t>Production</w:t>
      </w:r>
      <w:r>
        <w:t xml:space="preserve">: the packaged </w:t>
      </w:r>
      <w:r>
        <w:rPr>
          <w:rFonts w:ascii="Consolas" w:hAnsi="Consolas"/>
          <w:color w:val="C7254E"/>
          <w:sz w:val="20"/>
        </w:rPr>
        <w:t>.sppkg</w:t>
      </w:r>
      <w:r>
        <w:t xml:space="preserve"> deployed to the tenant or site collection App Catalog at </w:t>
      </w:r>
      <w:r>
        <w:rPr>
          <w:rFonts w:ascii="Consolas" w:hAnsi="Consolas"/>
          <w:color w:val="C7254E"/>
          <w:sz w:val="20"/>
        </w:rPr>
        <w:t>communityessentials.sharepoint.com</w:t>
      </w:r>
      <w:r>
        <w:t>, then added to the page(s) that host the SOP Repository experience.</w:t>
      </w:r>
    </w:p>
    <w:p>
      <w:pPr>
        <w:pStyle w:val="Heading2"/>
      </w:pPr>
      <w:r>
        <w:t>5. Dependencies to track over time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@microsoft/sp-*</w:t>
            </w:r>
            <w:r>
              <w:t xml:space="preserve"> (SPFx core) v1.20.0</w:t>
            </w:r>
          </w:p>
        </w:tc>
        <w:tc>
          <w:tcPr>
            <w:tcW w:type="dxa" w:w="4320"/>
          </w:tcPr>
          <w:p>
            <w:r>
              <w:t>Tied to a specific SharePoint Framework version; upgrading requires re-running/aligning the Yeoman generator version and Node engine range.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@pnp/sp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@pnp/graph</w:t>
            </w:r>
            <w:r>
              <w:t xml:space="preserve"> v4</w:t>
            </w:r>
          </w:p>
        </w:tc>
        <w:tc>
          <w:tcPr>
            <w:tcW w:type="dxa" w:w="4320"/>
          </w:tcPr>
          <w:p>
            <w:r>
              <w:t xml:space="preserve">Data access layer; breaking changes here affect </w:t>
            </w:r>
            <w:r>
              <w:rPr>
                <w:rFonts w:ascii="Consolas" w:hAnsi="Consolas"/>
                <w:color w:val="C7254E"/>
                <w:sz w:val="20"/>
              </w:rPr>
              <w:t>SopService.ts</w:t>
            </w:r>
            <w:r>
              <w:t xml:space="preserve"> query syntax.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@fluentui/react</w:t>
            </w:r>
            <w:r>
              <w:t xml:space="preserve"> v8</w:t>
            </w:r>
          </w:p>
        </w:tc>
        <w:tc>
          <w:tcPr>
            <w:tcW w:type="dxa" w:w="4320"/>
          </w:tcPr>
          <w:p>
            <w:r>
              <w:t>UI components; a v9 migration would be a larger UI rewrite.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react</w:t>
            </w:r>
            <w:r>
              <w:t>/</w:t>
            </w:r>
            <w:r>
              <w:rPr>
                <w:rFonts w:ascii="Consolas" w:hAnsi="Consolas"/>
                <w:color w:val="C7254E"/>
                <w:sz w:val="20"/>
              </w:rPr>
              <w:t>react-dom</w:t>
            </w:r>
            <w:r>
              <w:t xml:space="preserve"> 17</w:t>
            </w:r>
          </w:p>
        </w:tc>
        <w:tc>
          <w:tcPr>
            <w:tcW w:type="dxa" w:w="4320"/>
          </w:tcPr>
          <w:p>
            <w:r>
              <w:t>Pinned by SPFx 1.20 compatibility; do not bump independently.</w:t>
            </w:r>
          </w:p>
        </w:tc>
      </w:tr>
      <w:tr>
        <w:tc>
          <w:tcPr>
            <w:tcW w:type="dxa" w:w="4320"/>
          </w:tcPr>
          <w:p>
            <w:r>
              <w:t>Node engine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&gt;=18.17.1 &lt;19.0.0 || &gt;=20.9.0 &lt;21.0.0</w:t>
            </w:r>
            <w:r>
              <w:t xml:space="preserve"> — build will fail outside this range.</w:t>
            </w:r>
          </w:p>
        </w:tc>
      </w:tr>
    </w:tbl>
    <w:p/>
    <w:p>
      <w:pPr>
        <w:pStyle w:val="Heading2"/>
      </w:pPr>
      <w:r>
        <w:t>6. Known constraints / things future maintainers should know</w:t>
      </w:r>
    </w:p>
    <w:p>
      <w:pPr>
        <w:pStyle w:val="ListBullet"/>
      </w:pPr>
      <w:r>
        <w:t xml:space="preserve">No automated tests currently exist beyond the </w:t>
      </w:r>
      <w:r>
        <w:rPr>
          <w:rFonts w:ascii="Consolas" w:hAnsi="Consolas"/>
          <w:color w:val="C7254E"/>
          <w:sz w:val="20"/>
        </w:rPr>
        <w:t>jest --passWithNoTests</w:t>
      </w:r>
      <w:r>
        <w:t xml:space="preserve"> placeholder script — any real test suite is still to be added.</w:t>
      </w:r>
    </w:p>
    <w:p>
      <w:pPr>
        <w:pStyle w:val="ListBullet"/>
      </w:pPr>
      <w:r>
        <w:t>No CI/CD pipeline is defined in-repo; packaging and deployment are manual (see the Update Guide).</w:t>
      </w:r>
    </w:p>
    <w:p>
      <w:pPr>
        <w:pStyle w:val="ListBullet"/>
      </w:pPr>
      <w:r>
        <w:t>No license file is present.</w:t>
      </w:r>
    </w:p>
    <w:p>
      <w:pPr>
        <w:pStyle w:val="ListBullet"/>
      </w:pPr>
      <w:r>
        <w:t xml:space="preserve">SharePoint internal field names are the most fragile part of the integration — see </w:t>
      </w:r>
      <w:r>
        <w:rPr>
          <w:rFonts w:ascii="Consolas" w:hAnsi="Consolas"/>
          <w:color w:val="C7254E"/>
          <w:sz w:val="20"/>
        </w:rPr>
        <w:t>SopService.ts</w:t>
      </w:r>
      <w:r>
        <w:t xml:space="preserve"> comments before changing any SharePoint column.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