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8"/>
        </w:rPr>
        <w:t>Role &amp; Responsibility Documentation — Internal SharePoint Page Content</w:t>
      </w:r>
    </w:p>
    <w:p>
      <w:r>
        <w:rPr>
          <w:i/>
          <w:color w:val="595959"/>
          <w:sz w:val="24"/>
        </w:rPr>
        <w:t>Internal IT Documentation — SharePoint Framework Web Part</w:t>
      </w:r>
    </w:p>
    <w:p/>
    <w:p>
      <w:pPr>
        <w:pStyle w:val="Heading1"/>
      </w:pPr>
      <w:r>
        <w:t>Role &amp; Responsibility Documentation — Internal SharePoint Page Content</w:t>
      </w:r>
    </w:p>
    <w:p>
      <w:pPr>
        <w:pStyle w:val="IntenseQuote"/>
      </w:pPr>
      <w:r>
        <w:rPr>
          <w:b/>
        </w:rPr>
        <w:t>Audience:</w:t>
      </w:r>
      <w:r>
        <w:t xml:space="preserve"> Village of Mundelein IT staff. This page is for </w:t>
      </w:r>
      <w:r>
        <w:rPr>
          <w:b/>
        </w:rPr>
        <w:t>internal</w:t>
      </w:r>
      <w:r>
        <w:t xml:space="preserve"> use — it is not intended for external clients. It gives the IT/solution team (and any staff who need to maintain or reference this app) one place to find the supporting documentation.</w:t>
      </w:r>
    </w:p>
    <w:p>
      <w:pPr>
        <w:pStyle w:val="Heading2"/>
      </w:pPr>
      <w:r>
        <w:t>How to build the page in SharePoint</w:t>
      </w:r>
    </w:p>
    <w:p>
      <w:pPr>
        <w:pStyle w:val="ListNumber"/>
      </w:pPr>
      <w:r>
        <w:t xml:space="preserve">Go to the site that hosts the Role &amp; Responsibility Documentation web part (e.g. </w:t>
      </w:r>
      <w:r>
        <w:rPr>
          <w:rFonts w:ascii="Consolas" w:hAnsi="Consolas"/>
          <w:color w:val="C7254E"/>
          <w:sz w:val="20"/>
        </w:rPr>
        <w:t>https://communityessentials.sharepoint.com/sites/SOPProcessManagement</w:t>
      </w:r>
      <w:r>
        <w:t>).</w:t>
      </w:r>
    </w:p>
    <w:p>
      <w:pPr>
        <w:pStyle w:val="ListNumber"/>
      </w:pPr>
      <w:r>
        <w:rPr>
          <w:b/>
        </w:rPr>
        <w:t>Site contents → Site Pages → + New → Site Page</w:t>
      </w:r>
      <w:r>
        <w:t>.</w:t>
      </w:r>
    </w:p>
    <w:p>
      <w:pPr>
        <w:pStyle w:val="ListNumber"/>
      </w:pPr>
      <w:r>
        <w:t xml:space="preserve">Name it </w:t>
      </w:r>
      <w:r>
        <w:rPr>
          <w:rFonts w:ascii="Consolas" w:hAnsi="Consolas"/>
          <w:color w:val="C7254E"/>
          <w:sz w:val="20"/>
        </w:rPr>
        <w:t>Role &amp; Responsibility Documentation — Internal Docs</w:t>
      </w:r>
      <w:r>
        <w:t xml:space="preserve"> (or similar).</w:t>
      </w:r>
    </w:p>
    <w:p>
      <w:pPr>
        <w:pStyle w:val="ListNumber"/>
      </w:pPr>
      <w:r>
        <w:t>Add web parts in this order, using the content below:</w:t>
      </w:r>
    </w:p>
    <w:p>
      <w:pPr>
        <w:pStyle w:val="ListBullet2"/>
      </w:pPr>
      <w:r>
        <w:rPr>
          <w:b/>
        </w:rPr>
        <w:t>Text</w:t>
      </w:r>
      <w:r>
        <w:t xml:space="preserve"> web part → paste the "Overview" section.</w:t>
      </w:r>
    </w:p>
    <w:p>
      <w:pPr>
        <w:pStyle w:val="ListBullet2"/>
      </w:pPr>
      <w:r>
        <w:rPr>
          <w:b/>
        </w:rPr>
        <w:t>Quick Links</w:t>
      </w:r>
      <w:r>
        <w:t xml:space="preserve"> web part → one link per row in the "Documentation links" table below.</w:t>
      </w:r>
    </w:p>
    <w:p>
      <w:pPr>
        <w:pStyle w:val="ListBullet2"/>
      </w:pPr>
      <w:r>
        <w:rPr>
          <w:b/>
        </w:rPr>
        <w:t>Text</w:t>
      </w:r>
      <w:r>
        <w:t xml:space="preserve"> web part → paste the "Support &amp; change requests" section.</w:t>
      </w:r>
    </w:p>
    <w:p>
      <w:pPr>
        <w:pStyle w:val="ListNumber"/>
      </w:pPr>
      <w:r>
        <w:t xml:space="preserve">Add the page to internal site navigation (e.g. under "IT Resources"). Do </w:t>
      </w:r>
      <w:r>
        <w:rPr>
          <w:b/>
        </w:rPr>
        <w:t>not</w:t>
      </w:r>
      <w:r>
        <w:t xml:space="preserve"> promote this page to any externally-shared or client-visible navigation — it is internal only.</w:t>
      </w:r>
    </w:p>
    <w:p>
      <w:pPr>
        <w:pStyle w:val="ListNumber"/>
      </w:pPr>
      <w:r>
        <w:t xml:space="preserve">Click </w:t>
      </w:r>
      <w:r>
        <w:rPr>
          <w:b/>
        </w:rPr>
        <w:t>Publish</w:t>
      </w:r>
      <w:r>
        <w:t>.</w:t>
      </w:r>
    </w:p>
    <w:p>
      <w:pPr>
        <w:pStyle w:val="Heading2"/>
      </w:pPr>
      <w:r>
        <w:t>Page content to paste in</w:t>
      </w:r>
    </w:p>
    <w:p>
      <w:pPr>
        <w:pStyle w:val="Heading3"/>
      </w:pPr>
      <w:r>
        <w:t>Overview</w:t>
      </w:r>
    </w:p>
    <w:p>
      <w:pPr>
        <w:pStyle w:val="Heading3"/>
      </w:pPr>
      <w:r>
        <w:t>Role &amp; Responsibility Documentation — Internal Reference</w:t>
      </w:r>
    </w:p>
    <w:p>
      <w:pPr>
        <w:pStyle w:val="IntenseQuote"/>
      </w:pPr>
      <w:r>
        <w:t xml:space="preserve">This page links the IT team to the technical and operational documentation for the Role &amp; Responsibility Documentation SharePoint web part (internal solution name: </w:t>
      </w:r>
      <w:r>
        <w:rPr>
          <w:rFonts w:ascii="Consolas" w:hAnsi="Consolas"/>
          <w:color w:val="C7254E"/>
          <w:sz w:val="20"/>
        </w:rPr>
        <w:t>sop-repository</w:t>
      </w:r>
      <w:r>
        <w:t>). Use it to find how the app was built, how to update and redeploy it, and where the supporting SharePoint lists and library live.</w:t>
      </w:r>
    </w:p>
    <w:p>
      <w:pPr>
        <w:pStyle w:val="Heading3"/>
      </w:pPr>
      <w:r>
        <w:t>Documentation links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Link text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Application lifecycle &amp; architecture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docs/APPLICATION-LIFECYCLE.md</w:t>
            </w:r>
            <w:r>
              <w:t xml:space="preserve"> in the repository</w:t>
            </w:r>
          </w:p>
        </w:tc>
      </w:tr>
      <w:tr>
        <w:tc>
          <w:tcPr>
            <w:tcW w:type="dxa" w:w="4320"/>
          </w:tcPr>
          <w:p>
            <w:r>
              <w:t>Update &amp; maintenance guide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docs/UPDATE-GUIDE.md</w:t>
            </w:r>
            <w:r>
              <w:t xml:space="preserve"> in the repository</w:t>
            </w:r>
          </w:p>
        </w:tc>
      </w:tr>
      <w:tr>
        <w:tc>
          <w:tcPr>
            <w:tcW w:type="dxa" w:w="4320"/>
          </w:tcPr>
          <w:p>
            <w:r>
              <w:t>Source code repository</w:t>
            </w:r>
          </w:p>
        </w:tc>
        <w:tc>
          <w:tcPr>
            <w:tcW w:type="dxa" w:w="4320"/>
          </w:tcPr>
          <w:p>
            <w:r>
              <w:t>https://github.com/JonEricEubanks/sop-repo</w:t>
            </w:r>
          </w:p>
        </w:tc>
      </w:tr>
      <w:tr>
        <w:tc>
          <w:tcPr>
            <w:tcW w:type="dxa" w:w="4320"/>
          </w:tcPr>
          <w:p>
            <w:r>
              <w:t>Pending rebrand / Admin upload feature (PR #1)</w:t>
            </w:r>
          </w:p>
        </w:tc>
        <w:tc>
          <w:tcPr>
            <w:tcW w:type="dxa" w:w="4320"/>
          </w:tcPr>
          <w:p>
            <w:r>
              <w:t>https://github.com/JonEricEubanks/sop-repo/pull/1</w:t>
            </w:r>
          </w:p>
        </w:tc>
      </w:tr>
      <w:tr>
        <w:tc>
          <w:tcPr>
            <w:tcW w:type="dxa" w:w="4320"/>
          </w:tcPr>
          <w:p>
            <w:r>
              <w:t>Roles list</w:t>
            </w:r>
          </w:p>
        </w:tc>
        <w:tc>
          <w:tcPr>
            <w:tcW w:type="dxa" w:w="4320"/>
          </w:tcPr>
          <w:p>
            <w:r>
              <w:t xml:space="preserve">Your tenant's Roles list, e.g. </w:t>
            </w:r>
            <w:r>
              <w:rPr>
                <w:rFonts w:ascii="Consolas" w:hAnsi="Consolas"/>
                <w:color w:val="C7254E"/>
                <w:sz w:val="20"/>
              </w:rPr>
              <w:t>{sopSiteUrl}/Lists/Roles</w:t>
            </w:r>
          </w:p>
        </w:tc>
      </w:tr>
      <w:tr>
        <w:tc>
          <w:tcPr>
            <w:tcW w:type="dxa" w:w="4320"/>
          </w:tcPr>
          <w:p>
            <w:r>
              <w:t>Process list</w:t>
            </w:r>
          </w:p>
        </w:tc>
        <w:tc>
          <w:tcPr>
            <w:tcW w:type="dxa" w:w="4320"/>
          </w:tcPr>
          <w:p>
            <w:r>
              <w:t xml:space="preserve">Your tenant's Process list, e.g. </w:t>
            </w:r>
            <w:r>
              <w:rPr>
                <w:rFonts w:ascii="Consolas" w:hAnsi="Consolas"/>
                <w:color w:val="C7254E"/>
                <w:sz w:val="20"/>
              </w:rPr>
              <w:t>{sopSiteUrl}/Lists/Process</w:t>
            </w:r>
          </w:p>
        </w:tc>
      </w:tr>
      <w:tr>
        <w:tc>
          <w:tcPr>
            <w:tcW w:type="dxa" w:w="4320"/>
          </w:tcPr>
          <w:p>
            <w:r>
              <w:t>Documentation library</w:t>
            </w:r>
          </w:p>
        </w:tc>
        <w:tc>
          <w:tcPr>
            <w:tcW w:type="dxa" w:w="4320"/>
          </w:tcPr>
          <w:p>
            <w:r>
              <w:t xml:space="preserve">Your tenant's document library — </w:t>
            </w:r>
            <w:r>
              <w:rPr>
                <w:rFonts w:ascii="Consolas" w:hAnsi="Consolas"/>
                <w:color w:val="C7254E"/>
                <w:sz w:val="20"/>
              </w:rPr>
              <w:t>SOP &amp; Process Library</w:t>
            </w:r>
            <w:r>
              <w:t xml:space="preserve"> (pending rebrand) or </w:t>
            </w:r>
            <w:r>
              <w:rPr>
                <w:rFonts w:ascii="Consolas" w:hAnsi="Consolas"/>
                <w:color w:val="C7254E"/>
                <w:sz w:val="20"/>
              </w:rPr>
              <w:t>SOP Process Library</w:t>
            </w:r>
            <w:r>
              <w:t xml:space="preserve"> (current), e.g. </w:t>
            </w:r>
            <w:r>
              <w:rPr>
                <w:rFonts w:ascii="Consolas" w:hAnsi="Consolas"/>
                <w:color w:val="C7254E"/>
                <w:sz w:val="20"/>
              </w:rPr>
              <w:t>{sopSiteUrl}/SOP%20Process%20Library</w:t>
            </w:r>
          </w:p>
        </w:tc>
      </w:tr>
      <w:tr>
        <w:tc>
          <w:tcPr>
            <w:tcW w:type="dxa" w:w="4320"/>
          </w:tcPr>
          <w:p>
            <w:r>
              <w:t>Admin Access list (pending rebrand only)</w:t>
            </w:r>
          </w:p>
        </w:tc>
        <w:tc>
          <w:tcPr>
            <w:tcW w:type="dxa" w:w="4320"/>
          </w:tcPr>
          <w:p>
            <w:r>
              <w:t xml:space="preserve">Your tenant's </w:t>
            </w:r>
            <w:r>
              <w:rPr>
                <w:rFonts w:ascii="Consolas" w:hAnsi="Consolas"/>
                <w:color w:val="C7254E"/>
                <w:sz w:val="20"/>
              </w:rPr>
              <w:t>Admin Access</w:t>
            </w:r>
            <w:r>
              <w:t xml:space="preserve"> list, once created — controls who sees the Upload button</w:t>
            </w:r>
          </w:p>
        </w:tc>
      </w:tr>
    </w:tbl>
    <w:p/>
    <w:p>
      <w:pPr>
        <w:pStyle w:val="IntenseQuote"/>
      </w:pPr>
      <w:r>
        <w:rPr>
          <w:b/>
        </w:rPr>
        <w:t>Note:</w:t>
      </w:r>
      <w:r>
        <w:t xml:space="preserve"> Replace </w:t>
      </w:r>
      <w:r>
        <w:rPr>
          <w:rFonts w:ascii="Consolas" w:hAnsi="Consolas"/>
          <w:color w:val="C7254E"/>
          <w:sz w:val="20"/>
        </w:rPr>
        <w:t>{sopSiteUrl}</w:t>
      </w:r>
      <w:r>
        <w:t xml:space="preserve"> above with the actual site URL configured in the web part's property pane before publishing this page.</w:t>
      </w:r>
    </w:p>
    <w:p>
      <w:pPr>
        <w:pStyle w:val="Heading3"/>
      </w:pPr>
      <w:r>
        <w:t>Support &amp; change requests</w:t>
      </w:r>
    </w:p>
    <w:p>
      <w:pPr>
        <w:pStyle w:val="Heading3"/>
      </w:pPr>
      <w:r>
        <w:t>Need something changed?</w:t>
      </w:r>
    </w:p>
    <w:p>
      <w:pPr>
        <w:pStyle w:val="ListBullet"/>
      </w:pPr>
      <w:r>
        <w:rPr>
          <w:b/>
        </w:rPr>
        <w:t>Missing or outdated SOP/Job Description content:</w:t>
      </w:r>
      <w:r>
        <w:t xml:space="preserve"> update the source document directly in the documentation library, or use the in-app Upload feature if you're listed in the Admin Access list (pending rebrand only).</w:t>
      </w:r>
    </w:p>
    <w:p>
      <w:pPr>
        <w:pStyle w:val="ListBullet"/>
      </w:pPr>
      <w:r>
        <w:rPr>
          <w:b/>
        </w:rPr>
        <w:t>App behavior or bug:</w:t>
      </w:r>
      <w:r>
        <w:t xml:space="preserve"> log it with the IT team internally, including the role/page you were on and what you expected to happen.</w:t>
      </w:r>
    </w:p>
    <w:p>
      <w:pPr>
        <w:pStyle w:val="ListBullet"/>
      </w:pPr>
      <w:r>
        <w:rPr>
          <w:b/>
        </w:rPr>
        <w:t>New feature request or config change:</w:t>
      </w:r>
      <w:r>
        <w:t xml:space="preserve"> raise it with whoever owns this repository so it can be scoped against </w:t>
      </w:r>
      <w:r>
        <w:rPr>
          <w:rFonts w:ascii="Consolas" w:hAnsi="Consolas"/>
          <w:color w:val="C7254E"/>
          <w:sz w:val="20"/>
        </w:rPr>
        <w:t>docs/UPDATE-GUIDE.md</w:t>
      </w:r>
      <w:r>
        <w:t>'s common-change scenarios and the existing roadmap (see PR #1 for what's already in progress).</w:t>
      </w:r>
    </w:p>
    <w:p>
      <w:r>
        <w:rPr>
          <w:color w:val="BFBFBF"/>
        </w:rPr>
        <w:t>____________________________________________________________</w:t>
      </w:r>
    </w:p>
    <w:p>
      <w:pPr>
        <w:pStyle w:val="Heading2"/>
      </w:pPr>
      <w:r>
        <w:t>Where this documentation actually lives</w:t>
      </w:r>
    </w:p>
    <w:p>
      <w:r>
        <w:t xml:space="preserve">Since </w:t>
      </w:r>
      <w:r>
        <w:rPr>
          <w:rFonts w:ascii="Consolas" w:hAnsi="Consolas"/>
          <w:color w:val="C7254E"/>
          <w:sz w:val="20"/>
        </w:rPr>
        <w:t>docs/APPLICATION-LIFECYCLE.md</w:t>
      </w:r>
      <w:r>
        <w:t xml:space="preserve"> and </w:t>
      </w:r>
      <w:r>
        <w:rPr>
          <w:rFonts w:ascii="Consolas" w:hAnsi="Consolas"/>
          <w:color w:val="C7254E"/>
          <w:sz w:val="20"/>
        </w:rPr>
        <w:t>docs/UPDATE-GUIDE.md</w:t>
      </w:r>
      <w:r>
        <w:t xml:space="preserve"> live in the git repository, this internal page just links out to them rather than duplicating their content, so there's a single source of truth to keep updated as the app changes:</w:t>
      </w:r>
    </w:p>
    <w:p>
      <w:pPr>
        <w:pStyle w:val="ListNumber"/>
      </w:pPr>
      <w:r>
        <w:rPr>
          <w:b/>
        </w:rPr>
        <w:t>Link to GitHub directly</w:t>
      </w:r>
      <w:r>
        <w:t xml:space="preserve"> (recommended for IT staff with repo access) — link straight to the files, e.g. </w:t>
      </w:r>
      <w:r>
        <w:rPr>
          <w:rFonts w:ascii="Consolas" w:hAnsi="Consolas"/>
          <w:color w:val="C7254E"/>
          <w:sz w:val="20"/>
        </w:rPr>
        <w:t>https://github.com/JonEricEubanks/sop-repo/blob/main/docs/APPLICATION-LIFECYCLE.md</w:t>
      </w:r>
      <w:r>
        <w:t xml:space="preserve">. Lowest maintenance; always reflects the current </w:t>
      </w:r>
      <w:r>
        <w:rPr>
          <w:rFonts w:ascii="Consolas" w:hAnsi="Consolas"/>
          <w:color w:val="C7254E"/>
          <w:sz w:val="20"/>
        </w:rPr>
        <w:t>main</w:t>
      </w:r>
      <w:r>
        <w:t xml:space="preserve"> branch.</w:t>
      </w:r>
    </w:p>
    <w:p>
      <w:pPr>
        <w:pStyle w:val="ListNumber"/>
      </w:pPr>
      <w:r>
        <w:rPr>
          <w:b/>
        </w:rPr>
        <w:t>Mirror as SharePoint pages</w:t>
      </w:r>
      <w:r>
        <w:t xml:space="preserve"> — copy the Markdown content into additional internal SharePoint pages if some staff need it without GitHub access. Must be manually kept in sync with the repo.</w:t>
      </w:r>
    </w:p>
    <w:p>
      <w:pPr>
        <w:pStyle w:val="ListNumber"/>
      </w:pPr>
      <w:r>
        <w:rPr>
          <w:b/>
        </w:rPr>
        <w:t>Upload as Word/PDF files to an internal library</w:t>
      </w:r>
      <w:r>
        <w:t xml:space="preserve"> — export the docs (see </w:t>
      </w:r>
      <w:r>
        <w:rPr>
          <w:rFonts w:ascii="Consolas" w:hAnsi="Consolas"/>
          <w:color w:val="C7254E"/>
          <w:sz w:val="20"/>
        </w:rPr>
        <w:t>docs/word/</w:t>
      </w:r>
      <w:r>
        <w:t>) and store them in an internal SharePoint library. Useful for staff who prefer a Word document over GitHub.</w:t>
      </w:r>
    </w:p>
    <w:p>
      <w:r>
        <w:t>Whichever option is used, keep this page's links updated whenever the underlying docs move, are renamed, or PR #1 merges (at which point the "pending rebrand" callouts throughout the docs should be removed).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