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eastAsia="宋体"/>
          <w:b w:val="0"/>
          <w:strike w:val="0"/>
          <w:color w:val="000000"/>
          <w:sz w:val="34"/>
        </w:rPr>
        <w:t>附录</w:t>
      </w:r>
    </w:p>
    <w:p>
      <w:pPr>
        <w:widowControl/>
        <w:jc w:val="both"/>
      </w:pPr>
      <w:r>
        <w:rPr>
          <w:rFonts w:ascii="Times New Roman" w:hAnsi="Times New Roman" w:eastAsia="宋体"/>
          <w:b w:val="0"/>
          <w:strike w:val="0"/>
          <w:color w:val="000000"/>
          <w:sz w:val="22"/>
        </w:rPr>
        <w:t>本附录按正文的实验顺序组织。附录 A 补充 AUTOSAR 的需求来源、ICM 与验证器、受控修复和工程案例；附录 B 给出 AUTOSAR-vLLM 解码对照的设置与代价；附录 C 补充铁路规则、对照与修复案例；附录 D 说明 PIL 的评分、专家意见及实际决策修订。附录 A.4、C.4 和 D.3 分别以实际 ARXML、XMI 和 JSON 片段展示任务、生成、诊断、修复与复验。主要比较的分析单位、重复汇总方式和重采样设置见 C.2 与 D.2；完整配对数据、统计脚本及敏感性分析保存在复现材料中。</w:t>
      </w:r>
    </w:p>
    <w:p>
      <w:pPr>
        <w:pStyle w:val="Heading1"/>
        <w:widowControl/>
      </w:pPr>
      <w:r>
        <w:rPr>
          <w:rFonts w:ascii="Times New Roman" w:hAnsi="Times New Roman" w:eastAsia="宋体"/>
          <w:b w:val="0"/>
          <w:strike w:val="0"/>
          <w:color w:val="000000"/>
          <w:sz w:val="26"/>
        </w:rPr>
        <w:t>附录 A AUTOSAR 工程生成与修复</w:t>
      </w:r>
    </w:p>
    <w:p>
      <w:pPr>
        <w:pStyle w:val="Heading2"/>
        <w:widowControl/>
      </w:pPr>
      <w:r>
        <w:rPr>
          <w:rFonts w:ascii="Times New Roman" w:hAnsi="Times New Roman" w:eastAsia="宋体"/>
          <w:b w:val="0"/>
          <w:strike w:val="0"/>
          <w:color w:val="000000"/>
          <w:sz w:val="23"/>
        </w:rPr>
        <w:t>A.1 需求设计与生成设置</w:t>
      </w:r>
    </w:p>
    <w:p>
      <w:pPr>
        <w:widowControl/>
        <w:jc w:val="both"/>
      </w:pPr>
      <w:r>
        <w:rPr>
          <w:rFonts w:ascii="Times New Roman" w:hAnsi="Times New Roman" w:eastAsia="宋体"/>
          <w:b w:val="0"/>
          <w:strike w:val="0"/>
          <w:color w:val="000000"/>
          <w:sz w:val="22"/>
        </w:rPr>
        <w:t>20 个需求依据 AUTOSAR Classic 4.2.2 的 Software Component Template 和 Specification of RTE 设计</w:t>
      </w:r>
      <w:hyperlink r:id="rId42" w:tooltip="AUTOSAR422">
        <w:r>
          <w:rPr>
            <w:rFonts w:ascii="Times New Roman" w:hAnsi="Times New Roman" w:eastAsia="宋体"/>
            <w:color w:val="FF0000"/>
            <w:sz w:val="18"/>
            <w:u w:val="none"/>
            <w:vertAlign w:val="superscript"/>
          </w:rPr>
          <w:t>[28]</w:t>
        </w:r>
      </w:hyperlink>
      <w:hyperlink r:id="rId49" w:tooltip="AUTOSARRTE422">
        <w:r>
          <w:rPr>
            <w:rFonts w:ascii="Times New Roman" w:hAnsi="Times New Roman" w:eastAsia="宋体"/>
            <w:color w:val="FF0000"/>
            <w:sz w:val="18"/>
            <w:u w:val="none"/>
            <w:vertAlign w:val="superscript"/>
          </w:rPr>
          <w:t>[29]</w:t>
        </w:r>
      </w:hyperlink>
      <w:r>
        <w:rPr>
          <w:rFonts w:ascii="Times New Roman" w:hAnsi="Times New Roman" w:eastAsia="宋体"/>
          <w:b w:val="0"/>
          <w:strike w:val="0"/>
          <w:color w:val="000000"/>
          <w:sz w:val="22"/>
        </w:rPr>
        <w:t>。前者规定组件、端口、通信属性、内部行为及引用结构，后者用于解释周期触发与显式数据访问。ETAS 工具链下 RH850 工程中的接口与行为组合提供工程观察依据；作者进行去上下文化、命名规范化、分解重组和参数变化，形成表 A1 的三个层次。</w:t>
      </w:r>
    </w:p>
    <w:p>
      <w:pPr>
        <w:keepNext/>
        <w:widowControl/>
        <w:ind w:firstLine="0"/>
        <w:jc w:val="left"/>
      </w:pPr>
      <w:r>
        <w:rPr>
          <w:rFonts w:ascii="Times New Roman" w:hAnsi="Times New Roman" w:eastAsia="宋体"/>
          <w:b/>
          <w:strike w:val="0"/>
          <w:color w:val="000000"/>
          <w:sz w:val="20"/>
        </w:rPr>
        <w:t>表 A1 AUTOSAR 需求设计及来源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92"/>
        <w:gridCol w:w="3714"/>
        <w:gridCol w:w="3758"/>
      </w:tblGrid>
      <w:tr>
        <w:trPr>
          <w:cantSplit/>
          <w:tblHeader/>
        </w:trPr>
        <w:tc>
          <w:tcPr>
            <w:tcW w:type="dxa" w:w="2392"/>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内容</w:t>
            </w:r>
          </w:p>
        </w:tc>
        <w:tc>
          <w:tcPr>
            <w:tcW w:type="dxa" w:w="3714"/>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来源依据</w:t>
            </w:r>
          </w:p>
        </w:tc>
        <w:tc>
          <w:tcPr>
            <w:tcW w:type="dxa" w:w="375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设计方式</w:t>
            </w:r>
          </w:p>
        </w:tc>
      </w:tr>
      <w:tr>
        <w:trPr>
          <w:cantSplit/>
        </w:trPr>
        <w:tc>
          <w:tcPr>
            <w:tcW w:type="dxa" w:w="2392"/>
            <w:vAlign w:val="center"/>
          </w:tcPr>
          <w:p>
            <w:pPr>
              <w:keepNext/>
              <w:widowControl/>
              <w:spacing w:line="269" w:lineRule="auto" w:after="0"/>
              <w:ind w:firstLine="0"/>
              <w:jc w:val="left"/>
            </w:pPr>
            <w:r>
              <w:rPr>
                <w:rFonts w:ascii="Times New Roman" w:hAnsi="Times New Roman" w:eastAsia="宋体"/>
                <w:b w:val="0"/>
                <w:strike w:val="0"/>
                <w:color w:val="000000"/>
                <w:sz w:val="20"/>
              </w:rPr>
              <w:t>接口与端口</w:t>
            </w:r>
          </w:p>
        </w:tc>
        <w:tc>
          <w:tcPr>
            <w:tcW w:type="dxa" w:w="3714"/>
            <w:vAlign w:val="center"/>
          </w:tcPr>
          <w:p>
            <w:pPr>
              <w:keepNext/>
              <w:widowControl/>
              <w:spacing w:line="269" w:lineRule="auto" w:after="0"/>
              <w:ind w:firstLine="0"/>
              <w:jc w:val="left"/>
            </w:pPr>
            <w:r>
              <w:rPr>
                <w:rFonts w:ascii="Times New Roman" w:hAnsi="Times New Roman" w:eastAsia="宋体"/>
                <w:b w:val="0"/>
                <w:strike w:val="0"/>
                <w:color w:val="000000"/>
                <w:sz w:val="20"/>
              </w:rPr>
              <w:t>工程中的三个提供接口、三个需求接口及数据元素</w:t>
            </w:r>
          </w:p>
        </w:tc>
        <w:tc>
          <w:tcPr>
            <w:tcW w:type="dxa" w:w="3758"/>
            <w:vAlign w:val="center"/>
          </w:tcPr>
          <w:p>
            <w:pPr>
              <w:keepNext/>
              <w:widowControl/>
              <w:spacing w:line="269" w:lineRule="auto" w:after="0"/>
              <w:ind w:firstLine="0"/>
              <w:jc w:val="center"/>
            </w:pPr>
            <w:r>
              <w:rPr>
                <w:rFonts w:ascii="Times New Roman" w:hAnsi="Times New Roman" w:eastAsia="宋体"/>
                <w:b w:val="0"/>
                <w:strike w:val="0"/>
                <w:color w:val="000000"/>
                <w:sz w:val="20"/>
              </w:rPr>
              <w:t>重组接口组合，规范化命名</w:t>
            </w:r>
          </w:p>
        </w:tc>
      </w:tr>
      <w:tr>
        <w:trPr>
          <w:cantSplit/>
        </w:trPr>
        <w:tc>
          <w:tcPr>
            <w:tcW w:type="dxa" w:w="2392"/>
            <w:vAlign w:val="center"/>
          </w:tcPr>
          <w:p>
            <w:pPr>
              <w:keepNext/>
              <w:widowControl/>
              <w:spacing w:line="269" w:lineRule="auto" w:after="0"/>
              <w:ind w:firstLine="0"/>
              <w:jc w:val="left"/>
            </w:pPr>
            <w:r>
              <w:rPr>
                <w:rFonts w:ascii="Times New Roman" w:hAnsi="Times New Roman" w:eastAsia="宋体"/>
                <w:b w:val="0"/>
                <w:strike w:val="0"/>
                <w:color w:val="000000"/>
                <w:sz w:val="20"/>
              </w:rPr>
              <w:t>周期与接收超时</w:t>
            </w:r>
          </w:p>
        </w:tc>
        <w:tc>
          <w:tcPr>
            <w:tcW w:type="dxa" w:w="3714"/>
            <w:vAlign w:val="center"/>
          </w:tcPr>
          <w:p>
            <w:pPr>
              <w:keepNext/>
              <w:widowControl/>
              <w:spacing w:line="269" w:lineRule="auto" w:after="0"/>
              <w:ind w:firstLine="0"/>
              <w:jc w:val="center"/>
            </w:pPr>
            <w:r>
              <w:rPr>
                <w:rFonts w:ascii="Times New Roman" w:hAnsi="Times New Roman" w:eastAsia="宋体"/>
                <w:b w:val="0"/>
                <w:strike w:val="0"/>
                <w:color w:val="000000"/>
                <w:sz w:val="20"/>
              </w:rPr>
              <w:t>工程基线分别为 0.01 s、0.3 s</w:t>
            </w:r>
          </w:p>
        </w:tc>
        <w:tc>
          <w:tcPr>
            <w:tcW w:type="dxa" w:w="3758"/>
            <w:vAlign w:val="center"/>
          </w:tcPr>
          <w:p>
            <w:pPr>
              <w:keepNext/>
              <w:widowControl/>
              <w:spacing w:line="269" w:lineRule="auto" w:after="0"/>
              <w:ind w:firstLine="0"/>
              <w:jc w:val="center"/>
            </w:pPr>
            <w:r>
              <w:rPr>
                <w:rFonts w:ascii="Times New Roman" w:hAnsi="Times New Roman" w:eastAsia="宋体"/>
                <w:b w:val="0"/>
                <w:strike w:val="0"/>
                <w:color w:val="000000"/>
                <w:sz w:val="20"/>
              </w:rPr>
              <w:t>设置周期和超时参数变体</w:t>
            </w:r>
          </w:p>
        </w:tc>
      </w:tr>
      <w:tr>
        <w:trPr>
          <w:cantSplit/>
        </w:trPr>
        <w:tc>
          <w:tcPr>
            <w:tcW w:type="dxa" w:w="2392"/>
            <w:vAlign w:val="center"/>
          </w:tcPr>
          <w:p>
            <w:pPr>
              <w:keepNext/>
              <w:widowControl/>
              <w:spacing w:line="269" w:lineRule="auto" w:after="0"/>
              <w:ind w:firstLine="0"/>
              <w:jc w:val="left"/>
            </w:pPr>
            <w:r>
              <w:rPr>
                <w:rFonts w:ascii="Times New Roman" w:hAnsi="Times New Roman" w:eastAsia="宋体"/>
                <w:b w:val="0"/>
                <w:strike w:val="0"/>
                <w:color w:val="000000"/>
                <w:sz w:val="20"/>
              </w:rPr>
              <w:t>初始值</w:t>
            </w:r>
          </w:p>
        </w:tc>
        <w:tc>
          <w:tcPr>
            <w:tcW w:type="dxa" w:w="3714"/>
            <w:vAlign w:val="center"/>
          </w:tcPr>
          <w:p>
            <w:pPr>
              <w:keepNext/>
              <w:widowControl/>
              <w:spacing w:line="269" w:lineRule="auto" w:after="0"/>
              <w:ind w:firstLine="0"/>
              <w:jc w:val="left"/>
            </w:pPr>
            <w:r>
              <w:rPr>
                <w:rFonts w:ascii="Times New Roman" w:hAnsi="Times New Roman" w:eastAsia="宋体"/>
                <w:b w:val="0"/>
                <w:strike w:val="0"/>
                <w:color w:val="000000"/>
                <w:sz w:val="20"/>
              </w:rPr>
              <w:t>constr_1201 要求所选非队列接收通信属性具有初始值</w:t>
            </w:r>
          </w:p>
        </w:tc>
        <w:tc>
          <w:tcPr>
            <w:tcW w:type="dxa" w:w="3758"/>
            <w:vAlign w:val="center"/>
          </w:tcPr>
          <w:p>
            <w:pPr>
              <w:keepNext/>
              <w:widowControl/>
              <w:spacing w:line="269" w:lineRule="auto" w:after="0"/>
              <w:ind w:firstLine="0"/>
              <w:jc w:val="center"/>
            </w:pPr>
            <w:r>
              <w:rPr>
                <w:rFonts w:ascii="Times New Roman" w:hAnsi="Times New Roman" w:eastAsia="宋体"/>
                <w:b w:val="0"/>
                <w:strike w:val="0"/>
                <w:color w:val="000000"/>
                <w:sz w:val="20"/>
              </w:rPr>
              <w:t>作者统一取数值 0</w:t>
            </w:r>
          </w:p>
        </w:tc>
      </w:tr>
      <w:tr>
        <w:trPr>
          <w:cantSplit/>
        </w:trPr>
        <w:tc>
          <w:tcPr>
            <w:tcW w:type="dxa" w:w="2392"/>
            <w:vAlign w:val="center"/>
          </w:tcPr>
          <w:p>
            <w:pPr>
              <w:keepNext/>
              <w:widowControl/>
              <w:spacing w:line="269" w:lineRule="auto" w:after="0"/>
              <w:ind w:firstLine="0"/>
              <w:jc w:val="left"/>
            </w:pPr>
            <w:r>
              <w:rPr>
                <w:rFonts w:ascii="Times New Roman" w:hAnsi="Times New Roman" w:eastAsia="宋体"/>
                <w:b w:val="0"/>
                <w:strike w:val="0"/>
                <w:color w:val="000000"/>
                <w:sz w:val="20"/>
              </w:rPr>
              <w:t>最小层 6 案</w:t>
            </w:r>
          </w:p>
        </w:tc>
        <w:tc>
          <w:tcPr>
            <w:tcW w:type="dxa" w:w="3714"/>
            <w:vAlign w:val="center"/>
          </w:tcPr>
          <w:p>
            <w:pPr>
              <w:keepNext/>
              <w:widowControl/>
              <w:spacing w:line="269" w:lineRule="auto" w:after="0"/>
              <w:ind w:firstLine="0"/>
              <w:jc w:val="center"/>
            </w:pPr>
            <w:r>
              <w:rPr>
                <w:rFonts w:ascii="Times New Roman" w:hAnsi="Times New Roman" w:eastAsia="宋体"/>
                <w:b w:val="0"/>
                <w:strike w:val="0"/>
                <w:color w:val="000000"/>
                <w:sz w:val="20"/>
              </w:rPr>
              <w:t>单端口及接口</w:t>
            </w:r>
          </w:p>
        </w:tc>
        <w:tc>
          <w:tcPr>
            <w:tcW w:type="dxa" w:w="3758"/>
            <w:vAlign w:val="center"/>
          </w:tcPr>
          <w:p>
            <w:pPr>
              <w:keepNext/>
              <w:widowControl/>
              <w:spacing w:line="269" w:lineRule="auto" w:after="0"/>
              <w:ind w:firstLine="0"/>
              <w:jc w:val="center"/>
            </w:pPr>
            <w:r>
              <w:rPr>
                <w:rFonts w:ascii="Times New Roman" w:hAnsi="Times New Roman" w:eastAsia="宋体"/>
                <w:b w:val="0"/>
                <w:strike w:val="0"/>
                <w:color w:val="000000"/>
                <w:sz w:val="20"/>
              </w:rPr>
              <w:t>分别构造提供端口或需求端口</w:t>
            </w:r>
          </w:p>
        </w:tc>
      </w:tr>
      <w:tr>
        <w:trPr>
          <w:cantSplit/>
        </w:trPr>
        <w:tc>
          <w:tcPr>
            <w:tcW w:type="dxa" w:w="2392"/>
            <w:vAlign w:val="center"/>
          </w:tcPr>
          <w:p>
            <w:pPr>
              <w:keepNext/>
              <w:widowControl/>
              <w:spacing w:line="269" w:lineRule="auto" w:after="0"/>
              <w:ind w:firstLine="0"/>
              <w:jc w:val="left"/>
            </w:pPr>
            <w:r>
              <w:rPr>
                <w:rFonts w:ascii="Times New Roman" w:hAnsi="Times New Roman" w:eastAsia="宋体"/>
                <w:b w:val="0"/>
                <w:strike w:val="0"/>
                <w:color w:val="000000"/>
                <w:sz w:val="20"/>
              </w:rPr>
              <w:t>标准层 7 案</w:t>
            </w:r>
          </w:p>
        </w:tc>
        <w:tc>
          <w:tcPr>
            <w:tcW w:type="dxa" w:w="3714"/>
            <w:vAlign w:val="center"/>
          </w:tcPr>
          <w:p>
            <w:pPr>
              <w:keepNext/>
              <w:widowControl/>
              <w:spacing w:line="269" w:lineRule="auto" w:after="0"/>
              <w:ind w:firstLine="0"/>
              <w:jc w:val="center"/>
            </w:pPr>
            <w:r>
              <w:rPr>
                <w:rFonts w:ascii="Times New Roman" w:hAnsi="Times New Roman" w:eastAsia="宋体"/>
                <w:b w:val="0"/>
                <w:strike w:val="0"/>
                <w:color w:val="000000"/>
                <w:sz w:val="20"/>
              </w:rPr>
              <w:t>端口、周期执行与访问关系</w:t>
            </w:r>
          </w:p>
        </w:tc>
        <w:tc>
          <w:tcPr>
            <w:tcW w:type="dxa" w:w="3758"/>
            <w:vAlign w:val="center"/>
          </w:tcPr>
          <w:p>
            <w:pPr>
              <w:keepNext/>
              <w:widowControl/>
              <w:spacing w:line="269" w:lineRule="auto" w:after="0"/>
              <w:ind w:firstLine="0"/>
              <w:jc w:val="left"/>
            </w:pPr>
            <w:r>
              <w:rPr>
                <w:rFonts w:ascii="Times New Roman" w:hAnsi="Times New Roman" w:eastAsia="宋体"/>
                <w:b w:val="0"/>
                <w:strike w:val="0"/>
                <w:color w:val="000000"/>
                <w:sz w:val="20"/>
              </w:rPr>
              <w:t>组合 2–3 个端口、一个 Runnable 及周期事件</w:t>
            </w:r>
          </w:p>
        </w:tc>
      </w:tr>
      <w:tr>
        <w:trPr>
          <w:cantSplit/>
        </w:trPr>
        <w:tc>
          <w:tcPr>
            <w:tcW w:type="dxa" w:w="2392"/>
            <w:vAlign w:val="center"/>
          </w:tcPr>
          <w:p>
            <w:pPr>
              <w:keepNext w:val="0"/>
              <w:widowControl/>
              <w:spacing w:line="269" w:lineRule="auto" w:after="0"/>
              <w:ind w:firstLine="0"/>
              <w:jc w:val="left"/>
            </w:pPr>
            <w:r>
              <w:rPr>
                <w:rFonts w:ascii="Times New Roman" w:hAnsi="Times New Roman" w:eastAsia="宋体"/>
                <w:b w:val="0"/>
                <w:strike w:val="0"/>
                <w:color w:val="000000"/>
                <w:sz w:val="20"/>
              </w:rPr>
              <w:t>完整层 7 案</w:t>
            </w:r>
          </w:p>
        </w:tc>
        <w:tc>
          <w:tcPr>
            <w:tcW w:type="dxa" w:w="3714"/>
            <w:vAlign w:val="center"/>
          </w:tcPr>
          <w:p>
            <w:pPr>
              <w:keepNext w:val="0"/>
              <w:widowControl/>
              <w:spacing w:line="269" w:lineRule="auto" w:after="0"/>
              <w:ind w:firstLine="0"/>
              <w:jc w:val="center"/>
            </w:pPr>
            <w:r>
              <w:rPr>
                <w:rFonts w:ascii="Times New Roman" w:hAnsi="Times New Roman" w:eastAsia="宋体"/>
                <w:b w:val="0"/>
                <w:strike w:val="0"/>
                <w:color w:val="000000"/>
                <w:sz w:val="20"/>
              </w:rPr>
              <w:t>多接口与内部行为</w:t>
            </w:r>
          </w:p>
        </w:tc>
        <w:tc>
          <w:tcPr>
            <w:tcW w:type="dxa" w:w="3758"/>
            <w:vAlign w:val="center"/>
          </w:tcPr>
          <w:p>
            <w:pPr>
              <w:keepNext w:val="0"/>
              <w:widowControl/>
              <w:spacing w:line="269" w:lineRule="auto" w:after="0"/>
              <w:ind w:firstLine="0"/>
              <w:jc w:val="left"/>
            </w:pPr>
            <w:r>
              <w:rPr>
                <w:rFonts w:ascii="Times New Roman" w:hAnsi="Times New Roman" w:eastAsia="宋体"/>
                <w:b w:val="0"/>
                <w:strike w:val="0"/>
                <w:color w:val="000000"/>
                <w:sz w:val="20"/>
              </w:rPr>
              <w:t>组合六个端口、1–3 个 Runnable 及周期变化</w:t>
            </w:r>
          </w:p>
        </w:tc>
      </w:tr>
    </w:tbl>
    <w:p>
      <w:pPr>
        <w:widowControl/>
        <w:spacing w:before="120"/>
        <w:jc w:val="both"/>
      </w:pPr>
      <w:r>
        <w:rPr>
          <w:rFonts w:ascii="Times New Roman" w:hAnsi="Times New Roman" w:eastAsia="宋体"/>
          <w:b w:val="0"/>
          <w:strike w:val="0"/>
          <w:color w:val="000000"/>
          <w:sz w:val="22"/>
        </w:rPr>
        <w:t>所选初始值的规范依据见 Software Component Template 的 constr_1201，使用含义见 TPS_SWCT_01220</w:t>
      </w:r>
      <w:hyperlink r:id="rId42" w:tooltip="AUTOSAR422">
        <w:r>
          <w:rPr>
            <w:rFonts w:ascii="Times New Roman" w:hAnsi="Times New Roman" w:eastAsia="宋体"/>
            <w:color w:val="FF0000"/>
            <w:sz w:val="18"/>
            <w:u w:val="none"/>
            <w:vertAlign w:val="superscript"/>
          </w:rPr>
          <w:t>[28]</w:t>
        </w:r>
      </w:hyperlink>
      <w:r>
        <w:rPr>
          <w:rFonts w:ascii="Times New Roman" w:hAnsi="Times New Roman" w:eastAsia="宋体"/>
          <w:b w:val="0"/>
          <w:strike w:val="0"/>
          <w:color w:val="000000"/>
          <w:sz w:val="22"/>
        </w:rPr>
        <w:t>；数值 0 是任务设计中的具体选择。20 个基础案例共要求 33 个提供端口、32 个需求端口、18 个 Runnable、18 个周期事件和 55 个变量访问。详细案例来源与设计说明随复现材料提供。</w:t>
      </w:r>
    </w:p>
    <w:p>
      <w:pPr>
        <w:widowControl/>
        <w:jc w:val="both"/>
      </w:pPr>
      <w:r>
        <w:rPr>
          <w:rFonts w:ascii="Times New Roman" w:hAnsi="Times New Roman" w:eastAsia="宋体"/>
          <w:b w:val="0"/>
          <w:strike w:val="0"/>
          <w:color w:val="000000"/>
          <w:sz w:val="22"/>
        </w:rPr>
        <w:t>生成使用 gpt-5.6-luna、low 推理强度、温度 1.0、严格结构化输出和 128,000 词元最大输出预算，三个固定种子为 104729、130363、155921。任务输入包括英文需求描述、据需求确定的结构化规格及已有接口目录。正式包保留 20 份需求提示和 120 份第二阶段生成提示；它们与规范抽取时使用的提示分别保存。任务分析选定所需结构，再与 ICM 和图谱中的元模型信息共同组装生成约束。适配器绑定固定对象和值，装配结构化输出并序列化为 ARXML。生成评价与受控修复分开执行。</w:t>
      </w:r>
    </w:p>
    <w:p>
      <w:pPr>
        <w:widowControl/>
        <w:jc w:val="both"/>
      </w:pPr>
      <w:r>
        <w:rPr>
          <w:rFonts w:ascii="Times New Roman" w:hAnsi="Times New Roman" w:eastAsia="宋体"/>
          <w:b w:val="0"/>
          <w:strike w:val="0"/>
          <w:color w:val="000000"/>
          <w:sz w:val="22"/>
        </w:rPr>
        <w:t>60 次生成形成 60 份组件文件和 195 份接口文件。单个组件文档含 11–115 个 XML 元素，接口文档各含 10 个元素，最大嵌套深度为 14，根 AUTOSAR 计为第 1 层。最大案例 ASW-FULL-06 的一次输出包含七份文档，共 175 个元素。上述元素数按 XML 元素节点计算，属性、文本及重复副本不另计。</w:t>
      </w:r>
    </w:p>
    <w:p>
      <w:pPr>
        <w:pStyle w:val="Heading2"/>
        <w:widowControl/>
      </w:pPr>
      <w:r>
        <w:rPr>
          <w:rFonts w:ascii="Times New Roman" w:hAnsi="Times New Roman" w:eastAsia="宋体"/>
          <w:b w:val="0"/>
          <w:strike w:val="0"/>
          <w:color w:val="000000"/>
          <w:sz w:val="23"/>
        </w:rPr>
        <w:t>A.2 规范约束抽取、ICM 与验证器</w:t>
      </w:r>
    </w:p>
    <w:p>
      <w:pPr>
        <w:widowControl/>
        <w:jc w:val="both"/>
      </w:pPr>
      <w:r>
        <w:rPr>
          <w:rFonts w:ascii="Times New Roman" w:hAnsi="Times New Roman" w:eastAsia="宋体"/>
          <w:b w:val="0"/>
          <w:strike w:val="0"/>
          <w:color w:val="000000"/>
          <w:sz w:val="22"/>
        </w:rPr>
        <w:t>规范约束抽取使用 Software Component Template 第 2–13 章的文本及其元模型信息</w:t>
      </w:r>
      <w:hyperlink r:id="rId42" w:tooltip="AUTOSAR422">
        <w:r>
          <w:rPr>
            <w:rFonts w:ascii="Times New Roman" w:hAnsi="Times New Roman" w:eastAsia="宋体"/>
            <w:color w:val="FF0000"/>
            <w:sz w:val="18"/>
            <w:u w:val="none"/>
            <w:vertAlign w:val="superscript"/>
          </w:rPr>
          <w:t>[28]</w:t>
        </w:r>
      </w:hyperlink>
      <w:r>
        <w:rPr>
          <w:rFonts w:ascii="Times New Roman" w:hAnsi="Times New Roman" w:eastAsia="宋体"/>
          <w:b w:val="0"/>
          <w:strike w:val="0"/>
          <w:color w:val="000000"/>
          <w:sz w:val="22"/>
        </w:rPr>
        <w:t>。作者标注章节、相关类和枚举，系统从元模型转换所得的表示中补入相应属性和枚举字面量，按章节与段落形成带上下文的输入片段。LLM 据此提出结构化约束及其目标元素候选，后续整理结合规范原文形成约束记录与元素绑定。规范原文为英文，抽取实现中的控制提示使用中文；抽取与后续语义整理的实现、记录及身份分别提供。表 A2 概括领域准备流程，固定资源的实际复核状态见下文。</w:t>
      </w:r>
    </w:p>
    <w:p>
      <w:pPr>
        <w:keepNext/>
        <w:widowControl/>
        <w:ind w:firstLine="0"/>
        <w:jc w:val="left"/>
      </w:pPr>
      <w:r>
        <w:rPr>
          <w:rFonts w:ascii="Times New Roman" w:hAnsi="Times New Roman" w:eastAsia="宋体"/>
          <w:b/>
          <w:strike w:val="0"/>
          <w:color w:val="000000"/>
          <w:sz w:val="20"/>
        </w:rPr>
        <w:t>表 A2 AUTOSAR 规范约束抽取与整理规格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76"/>
        <w:gridCol w:w="7488"/>
      </w:tblGrid>
      <w:tr>
        <w:trPr>
          <w:cantSplit/>
          <w:tblHeader/>
        </w:trPr>
        <w:tc>
          <w:tcPr>
            <w:tcW w:type="dxa" w:w="237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项目</w:t>
            </w:r>
          </w:p>
        </w:tc>
        <w:tc>
          <w:tcPr>
            <w:tcW w:type="dxa" w:w="748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内容</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材料范围</w:t>
            </w:r>
          </w:p>
        </w:tc>
        <w:tc>
          <w:tcPr>
            <w:tcW w:type="dxa" w:w="7488"/>
            <w:vAlign w:val="center"/>
          </w:tcPr>
          <w:p>
            <w:pPr>
              <w:keepNext/>
              <w:widowControl/>
              <w:spacing w:line="269" w:lineRule="auto" w:after="0"/>
              <w:ind w:firstLine="0"/>
              <w:jc w:val="left"/>
            </w:pPr>
            <w:r>
              <w:rPr>
                <w:rFonts w:ascii="Times New Roman" w:hAnsi="Times New Roman" w:eastAsia="宋体"/>
                <w:b w:val="0"/>
                <w:strike w:val="0"/>
                <w:color w:val="000000"/>
                <w:sz w:val="20"/>
              </w:rPr>
              <w:t>所选规范章节中的带标识条款、规范性叙述及相关示例；保留条款标识和章节出处</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术语上下文</w:t>
            </w:r>
          </w:p>
        </w:tc>
        <w:tc>
          <w:tcPr>
            <w:tcW w:type="dxa" w:w="7488"/>
            <w:vAlign w:val="center"/>
          </w:tcPr>
          <w:p>
            <w:pPr>
              <w:keepNext/>
              <w:widowControl/>
              <w:spacing w:line="269" w:lineRule="auto" w:after="0"/>
              <w:ind w:firstLine="0"/>
              <w:jc w:val="left"/>
            </w:pPr>
            <w:r>
              <w:rPr>
                <w:rFonts w:ascii="Times New Roman" w:hAnsi="Times New Roman" w:eastAsia="宋体"/>
                <w:b w:val="0"/>
                <w:strike w:val="0"/>
                <w:color w:val="000000"/>
                <w:sz w:val="20"/>
              </w:rPr>
              <w:t>片段及上级章节、相关元模型类及属性、枚举及字面量</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结构化输出</w:t>
            </w:r>
          </w:p>
        </w:tc>
        <w:tc>
          <w:tcPr>
            <w:tcW w:type="dxa" w:w="7488"/>
            <w:vAlign w:val="center"/>
          </w:tcPr>
          <w:p>
            <w:pPr>
              <w:keepNext/>
              <w:widowControl/>
              <w:spacing w:line="269" w:lineRule="auto" w:after="0"/>
              <w:ind w:firstLine="0"/>
              <w:jc w:val="left"/>
            </w:pPr>
            <w:r>
              <w:rPr>
                <w:rFonts w:ascii="Times New Roman" w:hAnsi="Times New Roman" w:eastAsia="宋体"/>
                <w:b w:val="0"/>
                <w:strike w:val="0"/>
                <w:color w:val="000000"/>
                <w:sz w:val="20"/>
              </w:rPr>
              <w:t>约束标识、内容、类型、取值、关联条款，以及目标类、属性或枚举候选</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关联与语义复核</w:t>
            </w:r>
          </w:p>
        </w:tc>
        <w:tc>
          <w:tcPr>
            <w:tcW w:type="dxa" w:w="7488"/>
            <w:vAlign w:val="center"/>
          </w:tcPr>
          <w:p>
            <w:pPr>
              <w:keepNext/>
              <w:widowControl/>
              <w:spacing w:line="269" w:lineRule="auto" w:after="0"/>
              <w:ind w:firstLine="0"/>
              <w:jc w:val="left"/>
            </w:pPr>
            <w:r>
              <w:rPr>
                <w:rFonts w:ascii="Times New Roman" w:hAnsi="Times New Roman" w:eastAsia="宋体"/>
                <w:b w:val="0"/>
                <w:strike w:val="0"/>
                <w:color w:val="000000"/>
                <w:sz w:val="20"/>
              </w:rPr>
              <w:t>检查目标元素及其成员归属；分别记录元素绑定、规则解释及待复核问题</w:t>
            </w:r>
          </w:p>
        </w:tc>
      </w:tr>
      <w:tr>
        <w:trPr>
          <w:cantSplit/>
        </w:trPr>
        <w:tc>
          <w:tcPr>
            <w:tcW w:type="dxa" w:w="2376"/>
            <w:vAlign w:val="center"/>
          </w:tcPr>
          <w:p>
            <w:pPr>
              <w:keepNext w:val="0"/>
              <w:widowControl/>
              <w:spacing w:line="269" w:lineRule="auto" w:after="0"/>
              <w:ind w:firstLine="0"/>
              <w:jc w:val="left"/>
            </w:pPr>
            <w:r>
              <w:rPr>
                <w:rFonts w:ascii="Times New Roman" w:hAnsi="Times New Roman" w:eastAsia="宋体"/>
                <w:b w:val="0"/>
                <w:strike w:val="0"/>
                <w:color w:val="000000"/>
                <w:sz w:val="20"/>
              </w:rPr>
              <w:t>后续使用</w:t>
            </w:r>
          </w:p>
        </w:tc>
        <w:tc>
          <w:tcPr>
            <w:tcW w:type="dxa" w:w="7488"/>
            <w:vAlign w:val="center"/>
          </w:tcPr>
          <w:p>
            <w:pPr>
              <w:keepNext w:val="0"/>
              <w:widowControl/>
              <w:spacing w:line="269" w:lineRule="auto" w:after="0"/>
              <w:ind w:firstLine="0"/>
              <w:jc w:val="left"/>
            </w:pPr>
            <w:r>
              <w:rPr>
                <w:rFonts w:ascii="Times New Roman" w:hAnsi="Times New Roman" w:eastAsia="宋体"/>
                <w:b w:val="0"/>
                <w:strike w:val="0"/>
                <w:color w:val="000000"/>
                <w:sz w:val="20"/>
              </w:rPr>
              <w:t>按已有映射与检查实现接入生成和验证；检索根据关联与相关性选择约束材料，并保留其复核状态</w:t>
            </w:r>
          </w:p>
        </w:tc>
      </w:tr>
    </w:tbl>
    <w:p>
      <w:pPr>
        <w:widowControl/>
        <w:spacing w:before="120"/>
        <w:jc w:val="both"/>
      </w:pPr>
      <w:r>
        <w:rPr>
          <w:rFonts w:ascii="Times New Roman" w:hAnsi="Times New Roman" w:eastAsia="宋体"/>
          <w:b w:val="0"/>
          <w:strike w:val="0"/>
          <w:color w:val="000000"/>
          <w:sz w:val="22"/>
        </w:rPr>
        <w:t>正式实验使用固定的 ICM 资源，分别保存规范来源、语义整理与元素绑定。该存量含 1,085 条结构化约束、6,533 条约束关联，以及 11,177 个结构节点和 14,106 条结构关系。结构节点包含多种表示对象。语义状态中，473 条标记为已整理（curated），612 条为暂定（provisional）；综合状态中，472 条标记为 approved，613 条为 needs_review。综合状态由发布程序依据整理、绑定及实现问题标记生成，不等同于独立人工签核。元素绑定另有 1,052 条完整、30 条不适用、2 条部分完成和 1 条未解决。</w:t>
      </w:r>
    </w:p>
    <w:p>
      <w:pPr>
        <w:widowControl/>
        <w:jc w:val="both"/>
      </w:pPr>
      <w:r>
        <w:rPr>
          <w:rFonts w:ascii="Times New Roman" w:hAnsi="Times New Roman" w:eastAsia="宋体"/>
          <w:b w:val="0"/>
          <w:strike w:val="0"/>
          <w:color w:val="000000"/>
          <w:sz w:val="22"/>
        </w:rPr>
        <w:t>检索器将复核状态用于排序，但不排除待复核材料，因此检索到的卡片仍需按其状态解释。规则实现另行登记：检查计划接入 554 条规则，包括 400 条 Python 后端规则和 154 条声明式规则；这是配置规模，每次运行的实际检查由适用对象确定。图 6 的 TPS_SWCT_01519 卡片标记为暂定且待复核，元素绑定已完成，其检查计划中的形式化规格则标记为已审查。该例展示规则实现的实际检查，未将其视为整条约束解释或全部 ICM 存量已经完成语义确认。</w:t>
      </w:r>
    </w:p>
    <w:p>
      <w:pPr>
        <w:widowControl/>
        <w:jc w:val="both"/>
      </w:pPr>
      <w:r>
        <w:rPr>
          <w:rFonts w:ascii="Times New Roman" w:hAnsi="Times New Roman" w:eastAsia="宋体"/>
          <w:b w:val="0"/>
          <w:strike w:val="0"/>
          <w:color w:val="000000"/>
          <w:sz w:val="22"/>
        </w:rPr>
        <w:t>自定义检查由 LLM 辅助人工编写。作者对照规范确定适用对象、判定条件和诊断位置，选择实现并用满足、违反及边界样例测试。声明式操作处理范围、枚举、基数、存在性和引用等要求；专用检查处理跨对象关系。运行时依据规则标识和本次对象绑定装配检查项，不为每个任务重新生成验证代码。</w:t>
      </w:r>
    </w:p>
    <w:p>
      <w:pPr>
        <w:widowControl/>
        <w:jc w:val="both"/>
      </w:pPr>
      <w:r>
        <w:rPr>
          <w:rFonts w:ascii="Times New Roman" w:hAnsi="Times New Roman" w:eastAsia="宋体"/>
          <w:b w:val="0"/>
          <w:strike w:val="0"/>
          <w:color w:val="000000"/>
          <w:sz w:val="22"/>
        </w:rPr>
        <w:t>生成后先用 AUTOSAR XSD 检查实际 ARXML，再解析本地引用并执行适用领域规则。原任务验收器从案例规格读取组件名称、端口集合、接口引用、初始值、超时、Runnable、周期和读写关系，与实际制品逐项比较。制品与生成计划的一致性另行检查。例如，周期事件能够解析并不意味着周期正确；任务要求 10 ms 时，验收器还要核对实际值为 0.01 s。</w:t>
      </w:r>
    </w:p>
    <w:p>
      <w:pPr>
        <w:pStyle w:val="Heading2"/>
        <w:widowControl/>
      </w:pPr>
      <w:r>
        <w:rPr>
          <w:rFonts w:ascii="Times New Roman" w:hAnsi="Times New Roman" w:eastAsia="宋体"/>
          <w:b w:val="0"/>
          <w:strike w:val="0"/>
          <w:color w:val="000000"/>
          <w:sz w:val="23"/>
        </w:rPr>
        <w:t>A.3 核心故障与替代故障</w:t>
      </w:r>
    </w:p>
    <w:p>
      <w:pPr>
        <w:widowControl/>
        <w:jc w:val="both"/>
      </w:pPr>
      <w:r>
        <w:rPr>
          <w:rFonts w:ascii="Times New Roman" w:hAnsi="Times New Roman" w:eastAsia="宋体"/>
          <w:b w:val="0"/>
          <w:strike w:val="0"/>
          <w:color w:val="000000"/>
          <w:sz w:val="22"/>
        </w:rPr>
        <w:t>受控修复使用依据案例和 XSD 确定性构造、且已通过验收的参考制品。每个基础案例安排五个故障位置，对具有适用对象的位置执行固定核心操作，共 85 个；其余 15 个位置在运行前指定可执行的替代操作。修复最多允许两轮，实际各单元均在一轮内完成。</w:t>
      </w:r>
    </w:p>
    <w:p>
      <w:pPr>
        <w:keepNext/>
        <w:widowControl/>
        <w:ind w:firstLine="0"/>
        <w:jc w:val="left"/>
      </w:pPr>
      <w:r>
        <w:rPr>
          <w:rFonts w:ascii="Times New Roman" w:hAnsi="Times New Roman" w:eastAsia="宋体"/>
          <w:b/>
          <w:strike w:val="0"/>
          <w:color w:val="000000"/>
          <w:sz w:val="20"/>
        </w:rPr>
        <w:t>表 A3 核心故障修复结果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466"/>
        <w:gridCol w:w="2466"/>
        <w:gridCol w:w="2466"/>
        <w:gridCol w:w="2466"/>
      </w:tblGrid>
      <w:tr>
        <w:trPr>
          <w:cantSplit/>
          <w:tblHeader/>
        </w:trPr>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故障</w:t>
            </w:r>
          </w:p>
        </w:tc>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单元数</w:t>
            </w:r>
          </w:p>
        </w:tc>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检出数</w:t>
            </w:r>
          </w:p>
        </w:tc>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恢复参考内容</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初始值为空</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初始值错误</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事件或内部行为路径缺失</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14</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14</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14</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接收通信属性缺失</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17</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XSD 元素顺序错误</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20</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20</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20</w:t>
            </w:r>
          </w:p>
        </w:tc>
      </w:tr>
      <w:tr>
        <w:trPr>
          <w:cantSplit/>
        </w:trPr>
        <w:tc>
          <w:tcPr>
            <w:tcW w:type="dxa" w:w="2466"/>
            <w:vAlign w:val="center"/>
          </w:tcPr>
          <w:p>
            <w:pPr>
              <w:keepNext w:val="0"/>
              <w:widowControl/>
              <w:spacing w:line="269" w:lineRule="auto" w:after="0"/>
              <w:ind w:firstLine="0"/>
              <w:jc w:val="left"/>
            </w:pPr>
            <w:r>
              <w:rPr>
                <w:rFonts w:ascii="Times New Roman" w:hAnsi="Times New Roman" w:eastAsia="宋体"/>
                <w:b w:val="0"/>
                <w:strike w:val="0"/>
                <w:color w:val="000000"/>
                <w:sz w:val="20"/>
              </w:rPr>
              <w:t>合计</w:t>
            </w:r>
          </w:p>
        </w:tc>
        <w:tc>
          <w:tcPr>
            <w:tcW w:type="dxa" w:w="2466"/>
            <w:vAlign w:val="center"/>
          </w:tcPr>
          <w:p>
            <w:pPr>
              <w:keepNext w:val="0"/>
              <w:widowControl/>
              <w:spacing w:line="269" w:lineRule="auto" w:after="0"/>
              <w:ind w:firstLine="0"/>
              <w:jc w:val="center"/>
            </w:pPr>
            <w:r>
              <w:rPr>
                <w:rFonts w:ascii="Times New Roman" w:hAnsi="Times New Roman" w:eastAsia="宋体"/>
                <w:b w:val="0"/>
                <w:strike w:val="0"/>
                <w:color w:val="000000"/>
                <w:sz w:val="20"/>
              </w:rPr>
              <w:t>85</w:t>
            </w:r>
          </w:p>
        </w:tc>
        <w:tc>
          <w:tcPr>
            <w:tcW w:type="dxa" w:w="2466"/>
            <w:vAlign w:val="center"/>
          </w:tcPr>
          <w:p>
            <w:pPr>
              <w:keepNext w:val="0"/>
              <w:widowControl/>
              <w:spacing w:line="269" w:lineRule="auto" w:after="0"/>
              <w:ind w:firstLine="0"/>
              <w:jc w:val="center"/>
            </w:pPr>
            <w:r>
              <w:rPr>
                <w:rFonts w:ascii="Times New Roman" w:hAnsi="Times New Roman" w:eastAsia="宋体"/>
                <w:b w:val="0"/>
                <w:strike w:val="0"/>
                <w:color w:val="000000"/>
                <w:sz w:val="20"/>
              </w:rPr>
              <w:t>85</w:t>
            </w:r>
          </w:p>
        </w:tc>
        <w:tc>
          <w:tcPr>
            <w:tcW w:type="dxa" w:w="2466"/>
            <w:vAlign w:val="center"/>
          </w:tcPr>
          <w:p>
            <w:pPr>
              <w:keepNext w:val="0"/>
              <w:widowControl/>
              <w:spacing w:line="269" w:lineRule="auto" w:after="0"/>
              <w:ind w:firstLine="0"/>
              <w:jc w:val="center"/>
            </w:pPr>
            <w:r>
              <w:rPr>
                <w:rFonts w:ascii="Times New Roman" w:hAnsi="Times New Roman" w:eastAsia="宋体"/>
                <w:b w:val="0"/>
                <w:strike w:val="0"/>
                <w:color w:val="000000"/>
                <w:sz w:val="20"/>
              </w:rPr>
              <w:t>85</w:t>
            </w:r>
          </w:p>
        </w:tc>
      </w:tr>
    </w:tbl>
    <w:p>
      <w:pPr>
        <w:widowControl/>
        <w:spacing w:before="120"/>
        <w:jc w:val="both"/>
      </w:pPr>
      <w:r>
        <w:rPr>
          <w:rFonts w:ascii="Times New Roman" w:hAnsi="Times New Roman" w:eastAsia="宋体"/>
          <w:b w:val="0"/>
          <w:strike w:val="0"/>
          <w:color w:val="000000"/>
          <w:sz w:val="22"/>
        </w:rPr>
        <w:t>替代操作的原因是目标结构不存在。例如，只有提供端口的案例没有接收初始值，因而不能清空它；没有 Runnable 和事件的案例也不能注入其路径故障。表 A4 列出实际执行的替代操作，每行对应三个案例。</w:t>
      </w:r>
    </w:p>
    <w:p>
      <w:pPr>
        <w:keepNext/>
        <w:widowControl/>
        <w:ind w:firstLine="0"/>
        <w:jc w:val="left"/>
      </w:pPr>
      <w:r>
        <w:rPr>
          <w:rFonts w:ascii="Times New Roman" w:hAnsi="Times New Roman" w:eastAsia="宋体"/>
          <w:b/>
          <w:strike w:val="0"/>
          <w:color w:val="000000"/>
          <w:sz w:val="20"/>
        </w:rPr>
        <w:t>表 A4 运行前声明的替代操作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118"/>
        <w:gridCol w:w="2259"/>
        <w:gridCol w:w="2319"/>
        <w:gridCol w:w="2168"/>
      </w:tblGrid>
      <w:tr>
        <w:trPr>
          <w:cantSplit/>
          <w:tblHeader/>
        </w:trPr>
        <w:tc>
          <w:tcPr>
            <w:tcW w:type="dxa" w:w="311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案例</w:t>
            </w:r>
          </w:p>
        </w:tc>
        <w:tc>
          <w:tcPr>
            <w:tcW w:type="dxa" w:w="225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原核心操作</w:t>
            </w:r>
          </w:p>
        </w:tc>
        <w:tc>
          <w:tcPr>
            <w:tcW w:type="dxa" w:w="231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替代操作</w:t>
            </w:r>
          </w:p>
        </w:tc>
        <w:tc>
          <w:tcPr>
            <w:tcW w:type="dxa" w:w="216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数量与恢复结果</w:t>
            </w:r>
          </w:p>
        </w:tc>
      </w:tr>
      <w:tr>
        <w:trPr>
          <w:cantSplit/>
        </w:trPr>
        <w:tc>
          <w:tcPr>
            <w:tcW w:type="dxa" w:w="3118"/>
            <w:vAlign w:val="center"/>
          </w:tcPr>
          <w:p>
            <w:pPr>
              <w:keepNext/>
              <w:widowControl/>
              <w:spacing w:line="269" w:lineRule="auto" w:after="0"/>
              <w:ind w:firstLine="0"/>
              <w:jc w:val="left"/>
            </w:pPr>
            <w:r>
              <w:rPr>
                <w:rFonts w:ascii="Times New Roman" w:hAnsi="Times New Roman" w:eastAsia="宋体"/>
                <w:b w:val="0"/>
                <w:strike w:val="0"/>
                <w:color w:val="000000"/>
                <w:sz w:val="20"/>
              </w:rPr>
              <w:t>MIN-01 至 MIN-03</w:t>
            </w:r>
          </w:p>
        </w:tc>
        <w:tc>
          <w:tcPr>
            <w:tcW w:type="dxa" w:w="2259"/>
            <w:vAlign w:val="center"/>
          </w:tcPr>
          <w:p>
            <w:pPr>
              <w:keepNext/>
              <w:widowControl/>
              <w:spacing w:line="269" w:lineRule="auto" w:after="0"/>
              <w:ind w:firstLine="0"/>
              <w:jc w:val="center"/>
            </w:pPr>
            <w:r>
              <w:rPr>
                <w:rFonts w:ascii="Times New Roman" w:hAnsi="Times New Roman" w:eastAsia="宋体"/>
                <w:b w:val="0"/>
                <w:strike w:val="0"/>
                <w:color w:val="000000"/>
                <w:sz w:val="20"/>
              </w:rPr>
              <w:t>初始值为空</w:t>
            </w:r>
          </w:p>
        </w:tc>
        <w:tc>
          <w:tcPr>
            <w:tcW w:type="dxa" w:w="2319"/>
            <w:vAlign w:val="center"/>
          </w:tcPr>
          <w:p>
            <w:pPr>
              <w:keepNext/>
              <w:widowControl/>
              <w:spacing w:line="269" w:lineRule="auto" w:after="0"/>
              <w:ind w:firstLine="0"/>
              <w:jc w:val="center"/>
            </w:pPr>
            <w:r>
              <w:rPr>
                <w:rFonts w:ascii="Times New Roman" w:hAnsi="Times New Roman" w:eastAsia="宋体"/>
                <w:b w:val="0"/>
                <w:strike w:val="0"/>
                <w:color w:val="000000"/>
                <w:sz w:val="20"/>
              </w:rPr>
              <w:t>清空提供接口引用</w:t>
            </w:r>
          </w:p>
        </w:tc>
        <w:tc>
          <w:tcPr>
            <w:tcW w:type="dxa" w:w="2168"/>
            <w:vAlign w:val="center"/>
          </w:tcPr>
          <w:p>
            <w:pPr>
              <w:keepNext/>
              <w:widowControl/>
              <w:spacing w:line="269" w:lineRule="auto" w:after="0"/>
              <w:ind w:firstLine="0"/>
              <w:jc w:val="center"/>
            </w:pPr>
            <w:r>
              <w:rPr>
                <w:rFonts w:ascii="Times New Roman" w:hAnsi="Times New Roman" w:eastAsia="宋体"/>
                <w:b w:val="0"/>
                <w:strike w:val="0"/>
                <w:color w:val="000000"/>
                <w:sz w:val="20"/>
              </w:rPr>
              <w:t>3/3</w:t>
            </w:r>
          </w:p>
        </w:tc>
      </w:tr>
      <w:tr>
        <w:trPr>
          <w:cantSplit/>
        </w:trPr>
        <w:tc>
          <w:tcPr>
            <w:tcW w:type="dxa" w:w="3118"/>
            <w:vAlign w:val="center"/>
          </w:tcPr>
          <w:p>
            <w:pPr>
              <w:keepNext/>
              <w:widowControl/>
              <w:spacing w:line="269" w:lineRule="auto" w:after="0"/>
              <w:ind w:firstLine="0"/>
              <w:jc w:val="left"/>
            </w:pPr>
            <w:r>
              <w:rPr>
                <w:rFonts w:ascii="Times New Roman" w:hAnsi="Times New Roman" w:eastAsia="宋体"/>
                <w:b w:val="0"/>
                <w:strike w:val="0"/>
                <w:color w:val="000000"/>
                <w:sz w:val="20"/>
              </w:rPr>
              <w:t>MIN-01 至 MIN-03</w:t>
            </w:r>
          </w:p>
        </w:tc>
        <w:tc>
          <w:tcPr>
            <w:tcW w:type="dxa" w:w="2259"/>
            <w:vAlign w:val="center"/>
          </w:tcPr>
          <w:p>
            <w:pPr>
              <w:keepNext/>
              <w:widowControl/>
              <w:spacing w:line="269" w:lineRule="auto" w:after="0"/>
              <w:ind w:firstLine="0"/>
              <w:jc w:val="center"/>
            </w:pPr>
            <w:r>
              <w:rPr>
                <w:rFonts w:ascii="Times New Roman" w:hAnsi="Times New Roman" w:eastAsia="宋体"/>
                <w:b w:val="0"/>
                <w:strike w:val="0"/>
                <w:color w:val="000000"/>
                <w:sz w:val="20"/>
              </w:rPr>
              <w:t>初始值错误</w:t>
            </w:r>
          </w:p>
        </w:tc>
        <w:tc>
          <w:tcPr>
            <w:tcW w:type="dxa" w:w="2319"/>
            <w:vAlign w:val="center"/>
          </w:tcPr>
          <w:p>
            <w:pPr>
              <w:keepNext/>
              <w:widowControl/>
              <w:spacing w:line="269" w:lineRule="auto" w:after="0"/>
              <w:ind w:firstLine="0"/>
              <w:jc w:val="center"/>
            </w:pPr>
            <w:r>
              <w:rPr>
                <w:rFonts w:ascii="Times New Roman" w:hAnsi="Times New Roman" w:eastAsia="宋体"/>
                <w:b w:val="0"/>
                <w:strike w:val="0"/>
                <w:color w:val="000000"/>
                <w:sz w:val="20"/>
              </w:rPr>
              <w:t>将提供接口引用改为不存在的路径</w:t>
            </w:r>
          </w:p>
        </w:tc>
        <w:tc>
          <w:tcPr>
            <w:tcW w:type="dxa" w:w="2168"/>
            <w:vAlign w:val="center"/>
          </w:tcPr>
          <w:p>
            <w:pPr>
              <w:keepNext/>
              <w:widowControl/>
              <w:spacing w:line="269" w:lineRule="auto" w:after="0"/>
              <w:ind w:firstLine="0"/>
              <w:jc w:val="center"/>
            </w:pPr>
            <w:r>
              <w:rPr>
                <w:rFonts w:ascii="Times New Roman" w:hAnsi="Times New Roman" w:eastAsia="宋体"/>
                <w:b w:val="0"/>
                <w:strike w:val="0"/>
                <w:color w:val="000000"/>
                <w:sz w:val="20"/>
              </w:rPr>
              <w:t>3/3</w:t>
            </w:r>
          </w:p>
        </w:tc>
      </w:tr>
      <w:tr>
        <w:trPr>
          <w:cantSplit/>
        </w:trPr>
        <w:tc>
          <w:tcPr>
            <w:tcW w:type="dxa" w:w="3118"/>
            <w:vAlign w:val="center"/>
          </w:tcPr>
          <w:p>
            <w:pPr>
              <w:keepNext/>
              <w:widowControl/>
              <w:spacing w:line="269" w:lineRule="auto" w:after="0"/>
              <w:ind w:firstLine="0"/>
              <w:jc w:val="left"/>
            </w:pPr>
            <w:r>
              <w:rPr>
                <w:rFonts w:ascii="Times New Roman" w:hAnsi="Times New Roman" w:eastAsia="宋体"/>
                <w:b w:val="0"/>
                <w:strike w:val="0"/>
                <w:color w:val="000000"/>
                <w:sz w:val="20"/>
              </w:rPr>
              <w:t>MIN-01 至 MIN-03</w:t>
            </w:r>
          </w:p>
        </w:tc>
        <w:tc>
          <w:tcPr>
            <w:tcW w:type="dxa" w:w="2259"/>
            <w:vAlign w:val="center"/>
          </w:tcPr>
          <w:p>
            <w:pPr>
              <w:keepNext/>
              <w:widowControl/>
              <w:spacing w:line="269" w:lineRule="auto" w:after="0"/>
              <w:ind w:firstLine="0"/>
              <w:jc w:val="center"/>
            </w:pPr>
            <w:r>
              <w:rPr>
                <w:rFonts w:ascii="Times New Roman" w:hAnsi="Times New Roman" w:eastAsia="宋体"/>
                <w:b w:val="0"/>
                <w:strike w:val="0"/>
                <w:color w:val="000000"/>
                <w:sz w:val="20"/>
              </w:rPr>
              <w:t>接收通信属性缺失</w:t>
            </w:r>
          </w:p>
        </w:tc>
        <w:tc>
          <w:tcPr>
            <w:tcW w:type="dxa" w:w="2319"/>
            <w:vAlign w:val="center"/>
          </w:tcPr>
          <w:p>
            <w:pPr>
              <w:keepNext/>
              <w:widowControl/>
              <w:spacing w:line="269" w:lineRule="auto" w:after="0"/>
              <w:ind w:firstLine="0"/>
              <w:jc w:val="center"/>
            </w:pPr>
            <w:r>
              <w:rPr>
                <w:rFonts w:ascii="Times New Roman" w:hAnsi="Times New Roman" w:eastAsia="宋体"/>
                <w:b w:val="0"/>
                <w:strike w:val="0"/>
                <w:color w:val="000000"/>
                <w:sz w:val="20"/>
              </w:rPr>
              <w:t>删除提供端口</w:t>
            </w:r>
          </w:p>
        </w:tc>
        <w:tc>
          <w:tcPr>
            <w:tcW w:type="dxa" w:w="2168"/>
            <w:vAlign w:val="center"/>
          </w:tcPr>
          <w:p>
            <w:pPr>
              <w:keepNext/>
              <w:widowControl/>
              <w:spacing w:line="269" w:lineRule="auto" w:after="0"/>
              <w:ind w:firstLine="0"/>
              <w:jc w:val="center"/>
            </w:pPr>
            <w:r>
              <w:rPr>
                <w:rFonts w:ascii="Times New Roman" w:hAnsi="Times New Roman" w:eastAsia="宋体"/>
                <w:b w:val="0"/>
                <w:strike w:val="0"/>
                <w:color w:val="000000"/>
                <w:sz w:val="20"/>
              </w:rPr>
              <w:t>3/3</w:t>
            </w:r>
          </w:p>
        </w:tc>
      </w:tr>
      <w:tr>
        <w:trPr>
          <w:cantSplit/>
        </w:trPr>
        <w:tc>
          <w:tcPr>
            <w:tcW w:type="dxa" w:w="3118"/>
            <w:vAlign w:val="center"/>
          </w:tcPr>
          <w:p>
            <w:pPr>
              <w:keepNext/>
              <w:widowControl/>
              <w:spacing w:line="269" w:lineRule="auto" w:after="0"/>
              <w:ind w:firstLine="0"/>
              <w:jc w:val="left"/>
            </w:pPr>
            <w:r>
              <w:rPr>
                <w:rFonts w:ascii="Times New Roman" w:hAnsi="Times New Roman" w:eastAsia="宋体"/>
                <w:b w:val="0"/>
                <w:strike w:val="0"/>
                <w:color w:val="000000"/>
                <w:sz w:val="20"/>
              </w:rPr>
              <w:t>MIN-01 至 MIN-03</w:t>
            </w:r>
          </w:p>
        </w:tc>
        <w:tc>
          <w:tcPr>
            <w:tcW w:type="dxa" w:w="2259"/>
            <w:vAlign w:val="center"/>
          </w:tcPr>
          <w:p>
            <w:pPr>
              <w:keepNext/>
              <w:widowControl/>
              <w:spacing w:line="269" w:lineRule="auto" w:after="0"/>
              <w:ind w:firstLine="0"/>
              <w:jc w:val="center"/>
            </w:pPr>
            <w:r>
              <w:rPr>
                <w:rFonts w:ascii="Times New Roman" w:hAnsi="Times New Roman" w:eastAsia="宋体"/>
                <w:b w:val="0"/>
                <w:strike w:val="0"/>
                <w:color w:val="000000"/>
                <w:sz w:val="20"/>
              </w:rPr>
              <w:t>事件或内部行为路径缺失</w:t>
            </w:r>
          </w:p>
        </w:tc>
        <w:tc>
          <w:tcPr>
            <w:tcW w:type="dxa" w:w="2319"/>
            <w:vAlign w:val="center"/>
          </w:tcPr>
          <w:p>
            <w:pPr>
              <w:keepNext/>
              <w:widowControl/>
              <w:spacing w:line="269" w:lineRule="auto" w:after="0"/>
              <w:ind w:firstLine="0"/>
              <w:jc w:val="center"/>
            </w:pPr>
            <w:r>
              <w:rPr>
                <w:rFonts w:ascii="Times New Roman" w:hAnsi="Times New Roman" w:eastAsia="宋体"/>
                <w:b w:val="0"/>
                <w:strike w:val="0"/>
                <w:color w:val="000000"/>
                <w:sz w:val="20"/>
              </w:rPr>
              <w:t>删除组件名称</w:t>
            </w:r>
          </w:p>
        </w:tc>
        <w:tc>
          <w:tcPr>
            <w:tcW w:type="dxa" w:w="2168"/>
            <w:vAlign w:val="center"/>
          </w:tcPr>
          <w:p>
            <w:pPr>
              <w:keepNext/>
              <w:widowControl/>
              <w:spacing w:line="269" w:lineRule="auto" w:after="0"/>
              <w:ind w:firstLine="0"/>
              <w:jc w:val="center"/>
            </w:pPr>
            <w:r>
              <w:rPr>
                <w:rFonts w:ascii="Times New Roman" w:hAnsi="Times New Roman" w:eastAsia="宋体"/>
                <w:b w:val="0"/>
                <w:strike w:val="0"/>
                <w:color w:val="000000"/>
                <w:sz w:val="20"/>
              </w:rPr>
              <w:t>3/3</w:t>
            </w:r>
          </w:p>
        </w:tc>
      </w:tr>
      <w:tr>
        <w:trPr>
          <w:cantSplit/>
        </w:trPr>
        <w:tc>
          <w:tcPr>
            <w:tcW w:type="dxa" w:w="3118"/>
            <w:vAlign w:val="center"/>
          </w:tcPr>
          <w:p>
            <w:pPr>
              <w:keepNext w:val="0"/>
              <w:widowControl/>
              <w:spacing w:line="269" w:lineRule="auto" w:after="0"/>
              <w:ind w:firstLine="0"/>
              <w:jc w:val="left"/>
            </w:pPr>
            <w:r>
              <w:rPr>
                <w:rFonts w:ascii="Times New Roman" w:hAnsi="Times New Roman" w:eastAsia="宋体"/>
                <w:b w:val="0"/>
                <w:strike w:val="0"/>
                <w:color w:val="000000"/>
                <w:sz w:val="20"/>
              </w:rPr>
              <w:t>MIN-04 至 MIN-06</w:t>
            </w:r>
          </w:p>
        </w:tc>
        <w:tc>
          <w:tcPr>
            <w:tcW w:type="dxa" w:w="2259"/>
            <w:vAlign w:val="center"/>
          </w:tcPr>
          <w:p>
            <w:pPr>
              <w:keepNext w:val="0"/>
              <w:widowControl/>
              <w:spacing w:line="269" w:lineRule="auto" w:after="0"/>
              <w:ind w:firstLine="0"/>
              <w:jc w:val="center"/>
            </w:pPr>
            <w:r>
              <w:rPr>
                <w:rFonts w:ascii="Times New Roman" w:hAnsi="Times New Roman" w:eastAsia="宋体"/>
                <w:b w:val="0"/>
                <w:strike w:val="0"/>
                <w:color w:val="000000"/>
                <w:sz w:val="20"/>
              </w:rPr>
              <w:t>事件或内部行为路径缺失</w:t>
            </w:r>
          </w:p>
        </w:tc>
        <w:tc>
          <w:tcPr>
            <w:tcW w:type="dxa" w:w="2319"/>
            <w:vAlign w:val="center"/>
          </w:tcPr>
          <w:p>
            <w:pPr>
              <w:keepNext w:val="0"/>
              <w:widowControl/>
              <w:spacing w:line="269" w:lineRule="auto" w:after="0"/>
              <w:ind w:firstLine="0"/>
              <w:jc w:val="center"/>
            </w:pPr>
            <w:r>
              <w:rPr>
                <w:rFonts w:ascii="Times New Roman" w:hAnsi="Times New Roman" w:eastAsia="宋体"/>
                <w:b w:val="0"/>
                <w:strike w:val="0"/>
                <w:color w:val="000000"/>
                <w:sz w:val="20"/>
              </w:rPr>
              <w:t>删除需求接口引用</w:t>
            </w:r>
          </w:p>
        </w:tc>
        <w:tc>
          <w:tcPr>
            <w:tcW w:type="dxa" w:w="2168"/>
            <w:vAlign w:val="center"/>
          </w:tcPr>
          <w:p>
            <w:pPr>
              <w:keepNext w:val="0"/>
              <w:widowControl/>
              <w:spacing w:line="269" w:lineRule="auto" w:after="0"/>
              <w:ind w:firstLine="0"/>
              <w:jc w:val="center"/>
            </w:pPr>
            <w:r>
              <w:rPr>
                <w:rFonts w:ascii="Times New Roman" w:hAnsi="Times New Roman" w:eastAsia="宋体"/>
                <w:b w:val="0"/>
                <w:strike w:val="0"/>
                <w:color w:val="000000"/>
                <w:sz w:val="20"/>
              </w:rPr>
              <w:t>3/3</w:t>
            </w:r>
          </w:p>
        </w:tc>
      </w:tr>
    </w:tbl>
    <w:p>
      <w:pPr>
        <w:widowControl/>
        <w:spacing w:before="120"/>
        <w:jc w:val="both"/>
      </w:pPr>
      <w:r>
        <w:rPr>
          <w:rFonts w:ascii="Times New Roman" w:hAnsi="Times New Roman" w:eastAsia="宋体"/>
          <w:b w:val="0"/>
          <w:strike w:val="0"/>
          <w:color w:val="000000"/>
          <w:sz w:val="22"/>
        </w:rPr>
        <w:t>核心与替代集合分别为 85/85 和 15/15 恢复参考文件集合及字节内容。核心集合使用 109 次模型响应、661,631 个词元；替代集合使用 21 次响应、54,993 个词元。部分插入类修复分阶段生成，因而一次修复轮次可以包含多个响应。</w:t>
      </w:r>
    </w:p>
    <w:p>
      <w:pPr>
        <w:pStyle w:val="Heading2"/>
        <w:widowControl/>
      </w:pPr>
      <w:r>
        <w:rPr>
          <w:rFonts w:ascii="Times New Roman" w:hAnsi="Times New Roman" w:eastAsia="宋体"/>
          <w:b w:val="0"/>
          <w:strike w:val="0"/>
          <w:color w:val="000000"/>
          <w:sz w:val="23"/>
        </w:rPr>
        <w:t>A.4 贯穿案例 周期组件的构造与事件引用恢复</w:t>
      </w:r>
    </w:p>
    <w:p>
      <w:pPr>
        <w:widowControl/>
        <w:jc w:val="both"/>
      </w:pPr>
      <w:r>
        <w:rPr>
          <w:rFonts w:ascii="Times New Roman" w:hAnsi="Times New Roman" w:eastAsia="宋体"/>
          <w:b/>
          <w:strike w:val="0"/>
          <w:color w:val="000000"/>
          <w:sz w:val="22"/>
        </w:rPr>
        <w:t>任务及领域依据。</w:t>
      </w:r>
      <w:r>
        <w:rPr>
          <w:rFonts w:ascii="Times New Roman" w:hAnsi="Times New Roman" w:eastAsia="宋体"/>
          <w:b w:val="0"/>
          <w:strike w:val="0"/>
          <w:color w:val="000000"/>
          <w:sz w:val="22"/>
        </w:rPr>
        <w:t xml:space="preserve"> ASW-FULL-01 要求构造组件 ASW_Com_Full_Baseline，含三个提供端口、三个需求端口及六个接口；一个 Runnable 每隔 10 ms 执行三项读取和三项写入。需求还指定接收初始值为 0、超时为 0.3 s。元模型提供内部行为、Runnable、TimingEvent 及其包含和引用关系；ICM 中的 TPS_SWCT_01519 为声明为周期执行的 Runnable 提供事件检查依据</w:t>
      </w:r>
      <w:hyperlink r:id="rId42" w:tooltip="AUTOSAR422">
        <w:r>
          <w:rPr>
            <w:rFonts w:ascii="Times New Roman" w:hAnsi="Times New Roman" w:eastAsia="宋体"/>
            <w:color w:val="FF0000"/>
            <w:sz w:val="18"/>
            <w:u w:val="none"/>
            <w:vertAlign w:val="superscript"/>
          </w:rPr>
          <w:t>[28]</w:t>
        </w:r>
      </w:hyperlink>
      <w:r>
        <w:rPr>
          <w:rFonts w:ascii="Times New Roman" w:hAnsi="Times New Roman" w:eastAsia="宋体"/>
          <w:b w:val="0"/>
          <w:strike w:val="0"/>
          <w:color w:val="000000"/>
          <w:sz w:val="22"/>
        </w:rPr>
        <w:t>。</w:t>
      </w:r>
    </w:p>
    <w:p>
      <w:pPr>
        <w:widowControl/>
        <w:jc w:val="both"/>
      </w:pPr>
      <w:r>
        <w:rPr>
          <w:rFonts w:ascii="Times New Roman" w:hAnsi="Times New Roman" w:eastAsia="宋体"/>
          <w:b/>
          <w:strike w:val="0"/>
          <w:color w:val="000000"/>
          <w:sz w:val="22"/>
        </w:rPr>
        <w:t>任务绑定、L1 与装配。</w:t>
      </w:r>
      <w:r>
        <w:rPr>
          <w:rFonts w:ascii="Times New Roman" w:hAnsi="Times New Roman" w:eastAsia="宋体"/>
          <w:b w:val="0"/>
          <w:strike w:val="0"/>
          <w:color w:val="000000"/>
          <w:sz w:val="22"/>
        </w:rPr>
        <w:t xml:space="preserve"> 任务分析将内部行为、Runnable 和事件分别绑定为 IB_Com_Full_Baseline、RE_Com_Full_Baseline 和 TE_Com_Full_Baseline，并确定接口、变量访问及引用目标。L1 根据元模型与这些选择组装生成 schema，约束所需对象和包含层次。结构化结果由适配器装配，补入已绑定的固定值，再按 XSD 元素顺序序列化，形成一份组件和六份接口 ARXML。</w:t>
      </w:r>
    </w:p>
    <w:p>
      <w:pPr>
        <w:widowControl/>
        <w:jc w:val="both"/>
      </w:pPr>
      <w:r>
        <w:rPr>
          <w:rFonts w:ascii="Times New Roman" w:hAnsi="Times New Roman" w:eastAsia="宋体"/>
          <w:b w:val="0"/>
          <w:strike w:val="0"/>
          <w:color w:val="000000"/>
          <w:sz w:val="22"/>
        </w:rPr>
        <w:t>以下摘自第一次正式生成的组件，展示事件引用和实际 Runnable 声明。省略组件及其以上父层级，并用注释标明省略的读写访问；仅调整缩排和引用文本前后的换行，引用内部未截断。</w:t>
      </w:r>
    </w:p>
    <w:p>
      <w:pPr>
        <w:keepNext/>
        <w:widowControl/>
        <w:ind w:firstLine="0"/>
        <w:jc w:val="left"/>
      </w:pPr>
      <w:r>
        <w:rPr>
          <w:rFonts w:ascii="Times New Roman" w:hAnsi="Times New Roman" w:eastAsia="宋体"/>
          <w:b/>
          <w:strike w:val="0"/>
          <w:color w:val="000000"/>
          <w:sz w:val="20"/>
        </w:rPr>
        <w:t>片段 A1 正式生成的周期事件及 Runnable</w:t>
      </w:r>
    </w:p>
    <w:p>
      <w:pPr>
        <w:keepNext/>
        <w:widowControl/>
        <w:spacing w:line="252" w:lineRule="auto" w:after="0"/>
        <w:ind w:firstLine="0"/>
        <w:jc w:val="left"/>
      </w:pPr>
      <w:r>
        <w:rPr>
          <w:rFonts w:ascii="Consolas" w:hAnsi="Consolas" w:eastAsia="宋体"/>
          <w:b w:val="0"/>
          <w:strike w:val="0"/>
          <w:color w:val="000000"/>
          <w:sz w:val="19"/>
        </w:rPr>
        <w:t>&lt;SWC-INTERNAL-BEHAVIOR&gt;</w:t>
      </w:r>
    </w:p>
    <w:p>
      <w:pPr>
        <w:keepNext/>
        <w:widowControl/>
        <w:spacing w:line="252" w:lineRule="auto" w:after="0"/>
        <w:ind w:firstLine="0"/>
        <w:jc w:val="left"/>
      </w:pPr>
      <w:r>
        <w:rPr>
          <w:rFonts w:ascii="Consolas" w:hAnsi="Consolas" w:eastAsia="宋体"/>
          <w:b w:val="0"/>
          <w:strike w:val="0"/>
          <w:color w:val="000000"/>
          <w:sz w:val="19"/>
        </w:rPr>
        <w:t xml:space="preserve">  &lt;SHORT-NAME&gt;IB_Com_Full_Baseline&lt;/SHORT-NAME&gt;</w:t>
      </w:r>
    </w:p>
    <w:p>
      <w:pPr>
        <w:keepNext/>
        <w:widowControl/>
        <w:spacing w:line="252" w:lineRule="auto" w:after="0"/>
        <w:ind w:firstLine="0"/>
        <w:jc w:val="left"/>
      </w:pPr>
      <w:r>
        <w:rPr>
          <w:rFonts w:ascii="Consolas" w:hAnsi="Consolas" w:eastAsia="宋体"/>
          <w:b w:val="0"/>
          <w:strike w:val="0"/>
          <w:color w:val="000000"/>
          <w:sz w:val="19"/>
        </w:rPr>
        <w:t xml:space="preserve">  &lt;EVENTS&gt;</w:t>
      </w:r>
    </w:p>
    <w:p>
      <w:pPr>
        <w:keepNext/>
        <w:widowControl/>
        <w:spacing w:line="252" w:lineRule="auto" w:after="0"/>
        <w:ind w:firstLine="0"/>
        <w:jc w:val="left"/>
      </w:pPr>
      <w:r>
        <w:rPr>
          <w:rFonts w:ascii="Consolas" w:hAnsi="Consolas" w:eastAsia="宋体"/>
          <w:b w:val="0"/>
          <w:strike w:val="0"/>
          <w:color w:val="000000"/>
          <w:sz w:val="19"/>
        </w:rPr>
        <w:t xml:space="preserve">    &lt;TIMING-EVENT&gt;</w:t>
      </w:r>
    </w:p>
    <w:p>
      <w:pPr>
        <w:keepNext/>
        <w:widowControl/>
        <w:spacing w:line="252" w:lineRule="auto" w:after="0"/>
        <w:ind w:firstLine="0"/>
        <w:jc w:val="left"/>
      </w:pPr>
      <w:r>
        <w:rPr>
          <w:rFonts w:ascii="Consolas" w:hAnsi="Consolas" w:eastAsia="宋体"/>
          <w:b w:val="0"/>
          <w:strike w:val="0"/>
          <w:color w:val="000000"/>
          <w:sz w:val="19"/>
        </w:rPr>
        <w:t xml:space="preserve">      &lt;SHORT-NAME&gt;TE_Com_Full_Baseline&lt;/SHORT-NAME&gt;</w:t>
      </w:r>
    </w:p>
    <w:p>
      <w:pPr>
        <w:keepNext/>
        <w:widowControl/>
        <w:spacing w:line="252" w:lineRule="auto" w:after="0"/>
        <w:ind w:firstLine="0"/>
        <w:jc w:val="left"/>
      </w:pPr>
      <w:r>
        <w:rPr>
          <w:rFonts w:ascii="Consolas" w:hAnsi="Consolas" w:eastAsia="宋体"/>
          <w:b w:val="0"/>
          <w:strike w:val="0"/>
          <w:color w:val="000000"/>
          <w:sz w:val="19"/>
        </w:rPr>
        <w:t xml:space="preserve">      &lt;START-ON-EVENT-REF DEST="RUNNABLE-ENTITY"&gt;</w:t>
      </w:r>
    </w:p>
    <w:p>
      <w:pPr>
        <w:keepNext/>
        <w:widowControl/>
        <w:spacing w:line="252" w:lineRule="auto" w:after="0"/>
        <w:ind w:firstLine="0"/>
        <w:jc w:val="left"/>
      </w:pPr>
      <w:r>
        <w:rPr>
          <w:rFonts w:ascii="Consolas" w:hAnsi="Consolas" w:eastAsia="宋体"/>
          <w:b w:val="0"/>
          <w:strike w:val="0"/>
          <w:color w:val="000000"/>
          <w:sz w:val="19"/>
        </w:rPr>
        <w:t xml:space="preserve">        /Components/ASW_Com_Full_Baseline/IB_Com_Full_Baseline/RE_Com_Full_Baseline</w:t>
      </w:r>
    </w:p>
    <w:p>
      <w:pPr>
        <w:keepNext/>
        <w:widowControl/>
        <w:spacing w:line="252" w:lineRule="auto" w:after="0"/>
        <w:ind w:firstLine="0"/>
        <w:jc w:val="left"/>
      </w:pPr>
      <w:r>
        <w:rPr>
          <w:rFonts w:ascii="Consolas" w:hAnsi="Consolas" w:eastAsia="宋体"/>
          <w:b w:val="0"/>
          <w:strike w:val="0"/>
          <w:color w:val="000000"/>
          <w:sz w:val="19"/>
        </w:rPr>
        <w:t xml:space="preserve">      &lt;/START-ON-EVENT-REF&gt;</w:t>
      </w:r>
    </w:p>
    <w:p>
      <w:pPr>
        <w:keepNext/>
        <w:widowControl/>
        <w:spacing w:line="252" w:lineRule="auto" w:after="0"/>
        <w:ind w:firstLine="0"/>
        <w:jc w:val="left"/>
      </w:pPr>
      <w:r>
        <w:rPr>
          <w:rFonts w:ascii="Consolas" w:hAnsi="Consolas" w:eastAsia="宋体"/>
          <w:b w:val="0"/>
          <w:strike w:val="0"/>
          <w:color w:val="000000"/>
          <w:sz w:val="19"/>
        </w:rPr>
        <w:t xml:space="preserve">      &lt;PERIOD&gt;0.01&lt;/PERIOD&gt;</w:t>
      </w:r>
    </w:p>
    <w:p>
      <w:pPr>
        <w:keepNext/>
        <w:widowControl/>
        <w:spacing w:line="252" w:lineRule="auto" w:after="0"/>
        <w:ind w:firstLine="0"/>
        <w:jc w:val="left"/>
      </w:pPr>
      <w:r>
        <w:rPr>
          <w:rFonts w:ascii="Consolas" w:hAnsi="Consolas" w:eastAsia="宋体"/>
          <w:b w:val="0"/>
          <w:strike w:val="0"/>
          <w:color w:val="000000"/>
          <w:sz w:val="19"/>
        </w:rPr>
        <w:t xml:space="preserve">    &lt;/TIMING-EVENT&gt;</w:t>
      </w:r>
    </w:p>
    <w:p>
      <w:pPr>
        <w:keepNext/>
        <w:widowControl/>
        <w:spacing w:line="252" w:lineRule="auto" w:after="0"/>
        <w:ind w:firstLine="0"/>
        <w:jc w:val="left"/>
      </w:pPr>
      <w:r>
        <w:rPr>
          <w:rFonts w:ascii="Consolas" w:hAnsi="Consolas" w:eastAsia="宋体"/>
          <w:b w:val="0"/>
          <w:strike w:val="0"/>
          <w:color w:val="000000"/>
          <w:sz w:val="19"/>
        </w:rPr>
        <w:t xml:space="preserve">  &lt;/EVENTS&gt;</w:t>
      </w:r>
    </w:p>
    <w:p>
      <w:pPr>
        <w:keepNext/>
        <w:widowControl/>
        <w:spacing w:line="252" w:lineRule="auto" w:after="0"/>
        <w:ind w:firstLine="0"/>
        <w:jc w:val="left"/>
      </w:pPr>
      <w:r>
        <w:rPr>
          <w:rFonts w:ascii="Consolas" w:hAnsi="Consolas" w:eastAsia="宋体"/>
          <w:b w:val="0"/>
          <w:strike w:val="0"/>
          <w:color w:val="000000"/>
          <w:sz w:val="19"/>
        </w:rPr>
        <w:t xml:space="preserve">  &lt;RUNNABLES&gt;</w:t>
      </w:r>
    </w:p>
    <w:p>
      <w:pPr>
        <w:keepNext/>
        <w:widowControl/>
        <w:spacing w:line="252" w:lineRule="auto" w:after="0"/>
        <w:ind w:firstLine="0"/>
        <w:jc w:val="left"/>
      </w:pPr>
      <w:r>
        <w:rPr>
          <w:rFonts w:ascii="Consolas" w:hAnsi="Consolas" w:eastAsia="宋体"/>
          <w:b w:val="0"/>
          <w:strike w:val="0"/>
          <w:color w:val="000000"/>
          <w:sz w:val="19"/>
        </w:rPr>
        <w:t xml:space="preserve">    &lt;RUNNABLE-ENTITY&gt;</w:t>
      </w:r>
    </w:p>
    <w:p>
      <w:pPr>
        <w:keepNext/>
        <w:widowControl/>
        <w:spacing w:line="252" w:lineRule="auto" w:after="0"/>
        <w:ind w:firstLine="0"/>
        <w:jc w:val="left"/>
      </w:pPr>
      <w:r>
        <w:rPr>
          <w:rFonts w:ascii="Consolas" w:hAnsi="Consolas" w:eastAsia="宋体"/>
          <w:b w:val="0"/>
          <w:strike w:val="0"/>
          <w:color w:val="000000"/>
          <w:sz w:val="19"/>
        </w:rPr>
        <w:t xml:space="preserve">      &lt;SHORT-NAME&gt;RE_Com_Full_Baseline&lt;/SHORT-NAME&gt;</w:t>
      </w:r>
    </w:p>
    <w:p>
      <w:pPr>
        <w:keepNext/>
        <w:widowControl/>
        <w:spacing w:line="252" w:lineRule="auto" w:after="0"/>
        <w:ind w:firstLine="0"/>
        <w:jc w:val="left"/>
      </w:pPr>
      <w:r>
        <w:rPr>
          <w:rFonts w:ascii="Consolas" w:hAnsi="Consolas" w:eastAsia="宋体"/>
          <w:b w:val="0"/>
          <w:strike w:val="0"/>
          <w:color w:val="000000"/>
          <w:sz w:val="19"/>
        </w:rPr>
        <w:t xml:space="preserve">      &lt;!-- 省略三项读取和三项写入的 VARIABLE-ACCESS --&gt;</w:t>
      </w:r>
    </w:p>
    <w:p>
      <w:pPr>
        <w:keepNext/>
        <w:widowControl/>
        <w:spacing w:line="252" w:lineRule="auto" w:after="0"/>
        <w:ind w:firstLine="0"/>
        <w:jc w:val="left"/>
      </w:pPr>
      <w:r>
        <w:rPr>
          <w:rFonts w:ascii="Consolas" w:hAnsi="Consolas" w:eastAsia="宋体"/>
          <w:b w:val="0"/>
          <w:strike w:val="0"/>
          <w:color w:val="000000"/>
          <w:sz w:val="19"/>
        </w:rPr>
        <w:t xml:space="preserve">    &lt;/RUNNABLE-ENTITY&gt;</w:t>
      </w:r>
    </w:p>
    <w:p>
      <w:pPr>
        <w:keepNext/>
        <w:widowControl/>
        <w:spacing w:line="252" w:lineRule="auto" w:after="0"/>
        <w:ind w:firstLine="0"/>
        <w:jc w:val="left"/>
      </w:pPr>
      <w:r>
        <w:rPr>
          <w:rFonts w:ascii="Consolas" w:hAnsi="Consolas" w:eastAsia="宋体"/>
          <w:b w:val="0"/>
          <w:strike w:val="0"/>
          <w:color w:val="000000"/>
          <w:sz w:val="19"/>
        </w:rPr>
        <w:t xml:space="preserve">  &lt;/RUNNABLES&gt;</w:t>
      </w:r>
    </w:p>
    <w:p>
      <w:pPr>
        <w:keepNext w:val="0"/>
        <w:widowControl/>
        <w:spacing w:line="252" w:lineRule="auto" w:after="0"/>
        <w:ind w:firstLine="0"/>
        <w:jc w:val="left"/>
      </w:pPr>
      <w:r>
        <w:rPr>
          <w:rFonts w:ascii="Consolas" w:hAnsi="Consolas" w:eastAsia="宋体"/>
          <w:b w:val="0"/>
          <w:strike w:val="0"/>
          <w:color w:val="000000"/>
          <w:sz w:val="19"/>
        </w:rPr>
        <w:t>&lt;/SWC-INTERNAL-BEHAVIOR&gt;</w:t>
      </w:r>
    </w:p>
    <w:p>
      <w:pPr>
        <w:widowControl/>
        <w:jc w:val="both"/>
      </w:pPr>
      <w:r>
        <w:rPr>
          <w:rFonts w:ascii="Times New Roman" w:hAnsi="Times New Roman" w:eastAsia="宋体"/>
          <w:b/>
          <w:strike w:val="0"/>
          <w:color w:val="000000"/>
          <w:sz w:val="22"/>
        </w:rPr>
        <w:t>L2 与原任务验收。</w:t>
      </w:r>
      <w:r>
        <w:rPr>
          <w:rFonts w:ascii="Times New Roman" w:hAnsi="Times New Roman" w:eastAsia="宋体"/>
          <w:b w:val="0"/>
          <w:strike w:val="0"/>
          <w:color w:val="000000"/>
          <w:sz w:val="22"/>
        </w:rPr>
        <w:t xml:space="preserve"> 此次正式生成一次通过七份文档的 XSD 检查、22 个本地引用检查和 61 项案例结构义务。周期规则对一个适用 Runnable 完成检查并通过；任务验收另将实际周期 0.01 s 与要求的 10 ms 比较，并核对端口集合和读写关系。因此，事件存在、引用可解析与具体任务参数正确分别得到检查。</w:t>
      </w:r>
    </w:p>
    <w:p>
      <w:pPr>
        <w:widowControl/>
        <w:jc w:val="both"/>
      </w:pPr>
      <w:r>
        <w:rPr>
          <w:rFonts w:ascii="Times New Roman" w:hAnsi="Times New Roman" w:eastAsia="宋体"/>
          <w:b/>
          <w:strike w:val="0"/>
          <w:color w:val="000000"/>
          <w:sz w:val="22"/>
        </w:rPr>
        <w:t>独立受控损坏。</w:t>
      </w:r>
      <w:r>
        <w:rPr>
          <w:rFonts w:ascii="Times New Roman" w:hAnsi="Times New Roman" w:eastAsia="宋体"/>
          <w:b w:val="0"/>
          <w:strike w:val="0"/>
          <w:color w:val="000000"/>
          <w:sz w:val="22"/>
        </w:rPr>
        <w:t xml:space="preserve"> 同一需求另从已通过验收的确定性参考组件注入故障：删除事件引用中的内部行为路径段，保留的局部内容如下。</w:t>
      </w:r>
    </w:p>
    <w:p>
      <w:pPr>
        <w:keepNext/>
        <w:widowControl/>
        <w:ind w:firstLine="0"/>
        <w:jc w:val="left"/>
      </w:pPr>
      <w:r>
        <w:rPr>
          <w:rFonts w:ascii="Times New Roman" w:hAnsi="Times New Roman" w:eastAsia="宋体"/>
          <w:b/>
          <w:strike w:val="0"/>
          <w:color w:val="000000"/>
          <w:sz w:val="20"/>
        </w:rPr>
        <w:t>片段 A2 独立受控故障中的事件引用</w:t>
      </w:r>
    </w:p>
    <w:p>
      <w:pPr>
        <w:keepNext/>
        <w:widowControl/>
        <w:spacing w:line="252" w:lineRule="auto" w:after="0"/>
        <w:ind w:firstLine="0"/>
        <w:jc w:val="left"/>
      </w:pPr>
      <w:r>
        <w:rPr>
          <w:rFonts w:ascii="Consolas" w:hAnsi="Consolas" w:eastAsia="宋体"/>
          <w:b w:val="0"/>
          <w:strike w:val="0"/>
          <w:color w:val="000000"/>
          <w:sz w:val="19"/>
        </w:rPr>
        <w:t>&lt;START-ON-EVENT-REF DEST="RUNNABLE-ENTITY"&gt;</w:t>
      </w:r>
    </w:p>
    <w:p>
      <w:pPr>
        <w:keepNext/>
        <w:widowControl/>
        <w:spacing w:line="252" w:lineRule="auto" w:after="0"/>
        <w:ind w:firstLine="0"/>
        <w:jc w:val="left"/>
      </w:pPr>
      <w:r>
        <w:rPr>
          <w:rFonts w:ascii="Consolas" w:hAnsi="Consolas" w:eastAsia="宋体"/>
          <w:b w:val="0"/>
          <w:strike w:val="0"/>
          <w:color w:val="000000"/>
          <w:sz w:val="19"/>
        </w:rPr>
        <w:t xml:space="preserve">  /Components/ASW_Com_Full_Baseline/RE_Com_Full_Baseline</w:t>
      </w:r>
    </w:p>
    <w:p>
      <w:pPr>
        <w:keepNext w:val="0"/>
        <w:widowControl/>
        <w:spacing w:line="252" w:lineRule="auto" w:after="0"/>
        <w:ind w:firstLine="0"/>
        <w:jc w:val="left"/>
      </w:pPr>
      <w:r>
        <w:rPr>
          <w:rFonts w:ascii="Consolas" w:hAnsi="Consolas" w:eastAsia="宋体"/>
          <w:b w:val="0"/>
          <w:strike w:val="0"/>
          <w:color w:val="000000"/>
          <w:sz w:val="19"/>
        </w:rPr>
        <w:t>&lt;/START-ON-EVENT-REF&gt;</w:t>
      </w:r>
    </w:p>
    <w:p>
      <w:pPr>
        <w:widowControl/>
        <w:jc w:val="both"/>
      </w:pPr>
      <w:r>
        <w:rPr>
          <w:rFonts w:ascii="Times New Roman" w:hAnsi="Times New Roman" w:eastAsia="宋体"/>
          <w:b w:val="0"/>
          <w:strike w:val="0"/>
          <w:color w:val="000000"/>
          <w:sz w:val="22"/>
        </w:rPr>
        <w:t>损坏后 XSD 仍通过，但本地引用找不到目标；周期检查报告该 Runnable 缺少关联的 TimingEvent，任务验收也未通过。修复定位到事件的引用文本，依据已绑定的目标恢复完整路径，即补回 IB_Com_Full_Baseline。重新序列化后一轮复验通过，组件及六份接口的文件集合和字节内容恢复为参考制品。这一单元展示独立受控修复，正式生成本身已在首次尝试中通过。</w:t>
      </w:r>
    </w:p>
    <w:p>
      <w:pPr>
        <w:pStyle w:val="Heading1"/>
        <w:widowControl/>
      </w:pPr>
      <w:r>
        <w:rPr>
          <w:rFonts w:ascii="Times New Roman" w:hAnsi="Times New Roman" w:eastAsia="宋体"/>
          <w:b w:val="0"/>
          <w:strike w:val="0"/>
          <w:color w:val="000000"/>
          <w:sz w:val="26"/>
        </w:rPr>
        <w:t>附录 B AUTOSAR-vLLM 解码干预</w:t>
      </w:r>
    </w:p>
    <w:p>
      <w:pPr>
        <w:pStyle w:val="Heading2"/>
        <w:widowControl/>
      </w:pPr>
      <w:r>
        <w:rPr>
          <w:rFonts w:ascii="Times New Roman" w:hAnsi="Times New Roman" w:eastAsia="宋体"/>
          <w:b w:val="0"/>
          <w:strike w:val="0"/>
          <w:color w:val="000000"/>
          <w:sz w:val="23"/>
        </w:rPr>
        <w:t>B.1 比较条件与执行设置</w:t>
      </w:r>
    </w:p>
    <w:p>
      <w:pPr>
        <w:widowControl/>
        <w:jc w:val="both"/>
      </w:pPr>
      <w:r>
        <w:rPr>
          <w:rFonts w:ascii="Times New Roman" w:hAnsi="Times New Roman" w:eastAsia="宋体"/>
          <w:b w:val="0"/>
          <w:strike w:val="0"/>
          <w:color w:val="000000"/>
          <w:sz w:val="22"/>
        </w:rPr>
        <w:t>实验使用 Qwen3.5-9B、vLLM</w:t>
      </w:r>
      <w:hyperlink r:id="rId50" w:tooltip="Kwon2023PagedAttention">
        <w:r>
          <w:rPr>
            <w:rFonts w:ascii="Times New Roman" w:hAnsi="Times New Roman" w:eastAsia="宋体"/>
            <w:color w:val="FF0000"/>
            <w:sz w:val="18"/>
            <w:u w:val="none"/>
            <w:vertAlign w:val="superscript"/>
          </w:rPr>
          <w:t>[30]</w:t>
        </w:r>
      </w:hyperlink>
      <w:r>
        <w:rPr>
          <w:rFonts w:ascii="Times New Roman" w:hAnsi="Times New Roman" w:eastAsia="宋体"/>
          <w:b w:val="0"/>
          <w:strike w:val="0"/>
          <w:color w:val="000000"/>
          <w:sz w:val="22"/>
        </w:rPr>
        <w:t xml:space="preserve"> 和 XGrammar</w:t>
      </w:r>
      <w:hyperlink r:id="rId24" w:tooltip="Dong2024XGrammar">
        <w:r>
          <w:rPr>
            <w:rFonts w:ascii="Times New Roman" w:hAnsi="Times New Roman" w:eastAsia="宋体"/>
            <w:color w:val="FF0000"/>
            <w:sz w:val="18"/>
            <w:u w:val="none"/>
            <w:vertAlign w:val="superscript"/>
          </w:rPr>
          <w:t>[18]</w:t>
        </w:r>
      </w:hyperlink>
      <w:r>
        <w:rPr>
          <w:rFonts w:ascii="Times New Roman" w:hAnsi="Times New Roman" w:eastAsia="宋体"/>
          <w:b w:val="0"/>
          <w:strike w:val="0"/>
          <w:color w:val="000000"/>
          <w:sz w:val="22"/>
        </w:rPr>
        <w:t>，在两张 RTX 4090 上执行，张量并行度为 2。温度为 0，top_p 为 1，关闭 thinking、推测解码和前缀缓存，最大输出为 16,384 词元。20 个案例各使用三个固定种子，形成 60 个区组；提示约束 U、受约束解码 G、解码与审计 A 的六种执行排列各用于十个区组。</w:t>
      </w:r>
    </w:p>
    <w:p>
      <w:pPr>
        <w:widowControl/>
        <w:jc w:val="both"/>
      </w:pPr>
      <w:r>
        <w:rPr>
          <w:rFonts w:ascii="Times New Roman" w:hAnsi="Times New Roman" w:eastAsia="宋体"/>
          <w:b w:val="0"/>
          <w:strike w:val="0"/>
          <w:color w:val="000000"/>
          <w:sz w:val="22"/>
        </w:rPr>
        <w:t>三组提示都给出相同需求、输出说明及完整 JSON Schema。U 仅通过提示提供约束；G 进一步将约束交给后端执行；A 进一步记录逐步干预。生成约束来自固定案例结构，包含字段、数组、嵌套和取值要求。本实验固定这些输入，以观察执行解码约束本身的作用。</w:t>
      </w:r>
    </w:p>
    <w:p>
      <w:pPr>
        <w:pStyle w:val="Heading2"/>
        <w:widowControl/>
      </w:pPr>
      <w:r>
        <w:rPr>
          <w:rFonts w:ascii="Times New Roman" w:hAnsi="Times New Roman" w:eastAsia="宋体"/>
          <w:b w:val="0"/>
          <w:strike w:val="0"/>
          <w:color w:val="000000"/>
          <w:sz w:val="23"/>
        </w:rPr>
        <w:t>B.2 分层结果与运行代价</w:t>
      </w:r>
    </w:p>
    <w:p>
      <w:pPr>
        <w:keepNext/>
        <w:widowControl/>
        <w:ind w:firstLine="0"/>
        <w:jc w:val="left"/>
      </w:pPr>
      <w:r>
        <w:rPr>
          <w:rFonts w:ascii="Times New Roman" w:hAnsi="Times New Roman" w:eastAsia="宋体"/>
          <w:b/>
          <w:strike w:val="0"/>
          <w:color w:val="000000"/>
          <w:sz w:val="20"/>
        </w:rPr>
        <w:t>表 B1 各案例层次的结构验收结果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755"/>
        <w:gridCol w:w="2370"/>
        <w:gridCol w:w="2370"/>
        <w:gridCol w:w="2370"/>
      </w:tblGrid>
      <w:tr>
        <w:trPr>
          <w:cantSplit/>
          <w:tblHeader/>
        </w:trPr>
        <w:tc>
          <w:tcPr>
            <w:tcW w:type="dxa" w:w="2755"/>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案例层级</w:t>
            </w:r>
          </w:p>
        </w:tc>
        <w:tc>
          <w:tcPr>
            <w:tcW w:type="dxa" w:w="237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U：提示约束</w:t>
            </w:r>
          </w:p>
        </w:tc>
        <w:tc>
          <w:tcPr>
            <w:tcW w:type="dxa" w:w="237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G：解码约束</w:t>
            </w:r>
          </w:p>
        </w:tc>
        <w:tc>
          <w:tcPr>
            <w:tcW w:type="dxa" w:w="237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A：解码与审计</w:t>
            </w:r>
          </w:p>
        </w:tc>
      </w:tr>
      <w:tr>
        <w:trPr>
          <w:cantSplit/>
        </w:trPr>
        <w:tc>
          <w:tcPr>
            <w:tcW w:type="dxa" w:w="2755"/>
            <w:vAlign w:val="center"/>
          </w:tcPr>
          <w:p>
            <w:pPr>
              <w:keepNext/>
              <w:widowControl/>
              <w:spacing w:line="269" w:lineRule="auto" w:after="0"/>
              <w:ind w:firstLine="0"/>
              <w:jc w:val="left"/>
            </w:pPr>
            <w:r>
              <w:rPr>
                <w:rFonts w:ascii="Times New Roman" w:hAnsi="Times New Roman" w:eastAsia="宋体"/>
                <w:b w:val="0"/>
                <w:strike w:val="0"/>
                <w:color w:val="000000"/>
                <w:sz w:val="20"/>
              </w:rPr>
              <w:t>最小，6 案×3 次</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9/18</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18/18</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18/18</w:t>
            </w:r>
          </w:p>
        </w:tc>
      </w:tr>
      <w:tr>
        <w:trPr>
          <w:cantSplit/>
        </w:trPr>
        <w:tc>
          <w:tcPr>
            <w:tcW w:type="dxa" w:w="2755"/>
            <w:vAlign w:val="center"/>
          </w:tcPr>
          <w:p>
            <w:pPr>
              <w:keepNext/>
              <w:widowControl/>
              <w:spacing w:line="269" w:lineRule="auto" w:after="0"/>
              <w:ind w:firstLine="0"/>
              <w:jc w:val="left"/>
            </w:pPr>
            <w:r>
              <w:rPr>
                <w:rFonts w:ascii="Times New Roman" w:hAnsi="Times New Roman" w:eastAsia="宋体"/>
                <w:b w:val="0"/>
                <w:strike w:val="0"/>
                <w:color w:val="000000"/>
                <w:sz w:val="20"/>
              </w:rPr>
              <w:t>标准，7 案×3 次</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18/21</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21/21</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21/21</w:t>
            </w:r>
          </w:p>
        </w:tc>
      </w:tr>
      <w:tr>
        <w:trPr>
          <w:cantSplit/>
        </w:trPr>
        <w:tc>
          <w:tcPr>
            <w:tcW w:type="dxa" w:w="2755"/>
            <w:vAlign w:val="center"/>
          </w:tcPr>
          <w:p>
            <w:pPr>
              <w:keepNext/>
              <w:widowControl/>
              <w:spacing w:line="269" w:lineRule="auto" w:after="0"/>
              <w:ind w:firstLine="0"/>
              <w:jc w:val="left"/>
            </w:pPr>
            <w:r>
              <w:rPr>
                <w:rFonts w:ascii="Times New Roman" w:hAnsi="Times New Roman" w:eastAsia="宋体"/>
                <w:b w:val="0"/>
                <w:strike w:val="0"/>
                <w:color w:val="000000"/>
                <w:sz w:val="20"/>
              </w:rPr>
              <w:t>完整，7 案×3 次</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18/21</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21/21</w:t>
            </w:r>
          </w:p>
        </w:tc>
        <w:tc>
          <w:tcPr>
            <w:tcW w:type="dxa" w:w="2370"/>
            <w:vAlign w:val="center"/>
          </w:tcPr>
          <w:p>
            <w:pPr>
              <w:keepNext/>
              <w:widowControl/>
              <w:spacing w:line="269" w:lineRule="auto" w:after="0"/>
              <w:ind w:firstLine="0"/>
              <w:jc w:val="center"/>
            </w:pPr>
            <w:r>
              <w:rPr>
                <w:rFonts w:ascii="Times New Roman" w:hAnsi="Times New Roman" w:eastAsia="宋体"/>
                <w:b w:val="0"/>
                <w:strike w:val="0"/>
                <w:color w:val="000000"/>
                <w:sz w:val="20"/>
              </w:rPr>
              <w:t>21/21</w:t>
            </w:r>
          </w:p>
        </w:tc>
      </w:tr>
      <w:tr>
        <w:trPr>
          <w:cantSplit/>
        </w:trPr>
        <w:tc>
          <w:tcPr>
            <w:tcW w:type="dxa" w:w="2755"/>
            <w:vAlign w:val="center"/>
          </w:tcPr>
          <w:p>
            <w:pPr>
              <w:keepNext w:val="0"/>
              <w:widowControl/>
              <w:spacing w:line="269" w:lineRule="auto" w:after="0"/>
              <w:ind w:firstLine="0"/>
              <w:jc w:val="left"/>
            </w:pPr>
            <w:r>
              <w:rPr>
                <w:rFonts w:ascii="Times New Roman" w:hAnsi="Times New Roman" w:eastAsia="宋体"/>
                <w:b w:val="0"/>
                <w:strike w:val="0"/>
                <w:color w:val="000000"/>
                <w:sz w:val="20"/>
              </w:rPr>
              <w:t>合计，20 案×3 次</w:t>
            </w:r>
          </w:p>
        </w:tc>
        <w:tc>
          <w:tcPr>
            <w:tcW w:type="dxa" w:w="2370"/>
            <w:vAlign w:val="center"/>
          </w:tcPr>
          <w:p>
            <w:pPr>
              <w:keepNext w:val="0"/>
              <w:widowControl/>
              <w:spacing w:line="269" w:lineRule="auto" w:after="0"/>
              <w:ind w:firstLine="0"/>
              <w:jc w:val="center"/>
            </w:pPr>
            <w:r>
              <w:rPr>
                <w:rFonts w:ascii="Times New Roman" w:hAnsi="Times New Roman" w:eastAsia="宋体"/>
                <w:b w:val="0"/>
                <w:strike w:val="0"/>
                <w:color w:val="000000"/>
                <w:sz w:val="20"/>
              </w:rPr>
              <w:t>45/60</w:t>
            </w:r>
          </w:p>
        </w:tc>
        <w:tc>
          <w:tcPr>
            <w:tcW w:type="dxa" w:w="2370"/>
            <w:vAlign w:val="center"/>
          </w:tcPr>
          <w:p>
            <w:pPr>
              <w:keepNext w:val="0"/>
              <w:widowControl/>
              <w:spacing w:line="269" w:lineRule="auto" w:after="0"/>
              <w:ind w:firstLine="0"/>
              <w:jc w:val="center"/>
            </w:pPr>
            <w:r>
              <w:rPr>
                <w:rFonts w:ascii="Times New Roman" w:hAnsi="Times New Roman" w:eastAsia="宋体"/>
                <w:b w:val="0"/>
                <w:strike w:val="0"/>
                <w:color w:val="000000"/>
                <w:sz w:val="20"/>
              </w:rPr>
              <w:t>60/60</w:t>
            </w:r>
          </w:p>
        </w:tc>
        <w:tc>
          <w:tcPr>
            <w:tcW w:type="dxa" w:w="2370"/>
            <w:vAlign w:val="center"/>
          </w:tcPr>
          <w:p>
            <w:pPr>
              <w:keepNext w:val="0"/>
              <w:widowControl/>
              <w:spacing w:line="269" w:lineRule="auto" w:after="0"/>
              <w:ind w:firstLine="0"/>
              <w:jc w:val="center"/>
            </w:pPr>
            <w:r>
              <w:rPr>
                <w:rFonts w:ascii="Times New Roman" w:hAnsi="Times New Roman" w:eastAsia="宋体"/>
                <w:b w:val="0"/>
                <w:strike w:val="0"/>
                <w:color w:val="000000"/>
                <w:sz w:val="20"/>
              </w:rPr>
              <w:t>60/60</w:t>
            </w:r>
          </w:p>
        </w:tc>
      </w:tr>
    </w:tbl>
    <w:p>
      <w:pPr>
        <w:widowControl/>
        <w:spacing w:before="120"/>
        <w:jc w:val="both"/>
      </w:pPr>
      <w:r>
        <w:rPr>
          <w:rFonts w:ascii="Times New Roman" w:hAnsi="Times New Roman" w:eastAsia="宋体"/>
          <w:b w:val="0"/>
          <w:strike w:val="0"/>
          <w:color w:val="000000"/>
          <w:sz w:val="22"/>
        </w:rPr>
        <w:t>提示约束组中，三个最小案例将接收通信属性数组写成对象，一个标准案例和一个完整案例出现访问引用嵌套错误。五个案例的三次重复均失败；其余案例通过结构检查和后续制品验收。执行解码约束后，各层次均通过。按基础案例观察，五案改善、十五案持平。</w:t>
      </w:r>
    </w:p>
    <w:p>
      <w:pPr>
        <w:widowControl/>
        <w:jc w:val="both"/>
      </w:pPr>
      <w:r>
        <w:rPr>
          <w:rFonts w:ascii="Times New Roman" w:hAnsi="Times New Roman" w:eastAsia="宋体"/>
          <w:b w:val="0"/>
          <w:strike w:val="0"/>
          <w:color w:val="000000"/>
          <w:sz w:val="22"/>
        </w:rPr>
        <w:t>全部 60 次审计生成均出现无约束最高分词元被语法排除的步骤，每次 7–10 步，合计 516/54,942 步。审计组与普通受约束解码组的 60 对输出字节相同。表 B2 比较输出量和请求时间。</w:t>
      </w:r>
    </w:p>
    <w:p>
      <w:pPr>
        <w:keepNext/>
        <w:widowControl/>
        <w:ind w:firstLine="0"/>
        <w:jc w:val="left"/>
      </w:pPr>
      <w:r>
        <w:rPr>
          <w:rFonts w:ascii="Times New Roman" w:hAnsi="Times New Roman" w:eastAsia="宋体"/>
          <w:b/>
          <w:strike w:val="0"/>
          <w:color w:val="000000"/>
          <w:sz w:val="20"/>
        </w:rPr>
        <w:t>表 B2 词元与请求时间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466"/>
        <w:gridCol w:w="2466"/>
        <w:gridCol w:w="2466"/>
        <w:gridCol w:w="2466"/>
      </w:tblGrid>
      <w:tr>
        <w:trPr>
          <w:cantSplit/>
          <w:tblHeader/>
        </w:trPr>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指标</w:t>
            </w:r>
          </w:p>
        </w:tc>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U</w:t>
            </w:r>
          </w:p>
        </w:tc>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G</w:t>
            </w:r>
          </w:p>
        </w:tc>
        <w:tc>
          <w:tcPr>
            <w:tcW w:type="dxa" w:w="246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A</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输出词元总量</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73,644</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54,942</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54,942</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每请求平均输出词元</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1,227.4</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915.7</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915.7</w:t>
            </w:r>
          </w:p>
        </w:tc>
      </w:tr>
      <w:tr>
        <w:trPr>
          <w:cantSplit/>
        </w:trPr>
        <w:tc>
          <w:tcPr>
            <w:tcW w:type="dxa" w:w="2466"/>
            <w:vAlign w:val="center"/>
          </w:tcPr>
          <w:p>
            <w:pPr>
              <w:keepNext/>
              <w:widowControl/>
              <w:spacing w:line="269" w:lineRule="auto" w:after="0"/>
              <w:ind w:firstLine="0"/>
              <w:jc w:val="left"/>
            </w:pPr>
            <w:r>
              <w:rPr>
                <w:rFonts w:ascii="Times New Roman" w:hAnsi="Times New Roman" w:eastAsia="宋体"/>
                <w:b w:val="0"/>
                <w:strike w:val="0"/>
                <w:color w:val="000000"/>
                <w:sz w:val="20"/>
              </w:rPr>
              <w:t>请求时间合计/s</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811.519</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621.901</w:t>
            </w:r>
          </w:p>
        </w:tc>
        <w:tc>
          <w:tcPr>
            <w:tcW w:type="dxa" w:w="2466"/>
            <w:vAlign w:val="center"/>
          </w:tcPr>
          <w:p>
            <w:pPr>
              <w:keepNext/>
              <w:widowControl/>
              <w:spacing w:line="269" w:lineRule="auto" w:after="0"/>
              <w:ind w:firstLine="0"/>
              <w:jc w:val="center"/>
            </w:pPr>
            <w:r>
              <w:rPr>
                <w:rFonts w:ascii="Times New Roman" w:hAnsi="Times New Roman" w:eastAsia="宋体"/>
                <w:b w:val="0"/>
                <w:strike w:val="0"/>
                <w:color w:val="000000"/>
                <w:sz w:val="20"/>
              </w:rPr>
              <w:t>795.092</w:t>
            </w:r>
          </w:p>
        </w:tc>
      </w:tr>
      <w:tr>
        <w:trPr>
          <w:cantSplit/>
        </w:trPr>
        <w:tc>
          <w:tcPr>
            <w:tcW w:type="dxa" w:w="2466"/>
            <w:vAlign w:val="center"/>
          </w:tcPr>
          <w:p>
            <w:pPr>
              <w:keepNext w:val="0"/>
              <w:widowControl/>
              <w:spacing w:line="269" w:lineRule="auto" w:after="0"/>
              <w:ind w:firstLine="0"/>
              <w:jc w:val="left"/>
            </w:pPr>
            <w:r>
              <w:rPr>
                <w:rFonts w:ascii="Times New Roman" w:hAnsi="Times New Roman" w:eastAsia="宋体"/>
                <w:b w:val="0"/>
                <w:strike w:val="0"/>
                <w:color w:val="000000"/>
                <w:sz w:val="20"/>
              </w:rPr>
              <w:t>每请求平均时间/s</w:t>
            </w:r>
          </w:p>
        </w:tc>
        <w:tc>
          <w:tcPr>
            <w:tcW w:type="dxa" w:w="2466"/>
            <w:vAlign w:val="center"/>
          </w:tcPr>
          <w:p>
            <w:pPr>
              <w:keepNext w:val="0"/>
              <w:widowControl/>
              <w:spacing w:line="269" w:lineRule="auto" w:after="0"/>
              <w:ind w:firstLine="0"/>
              <w:jc w:val="center"/>
            </w:pPr>
            <w:r>
              <w:rPr>
                <w:rFonts w:ascii="Times New Roman" w:hAnsi="Times New Roman" w:eastAsia="宋体"/>
                <w:b w:val="0"/>
                <w:strike w:val="0"/>
                <w:color w:val="000000"/>
                <w:sz w:val="20"/>
              </w:rPr>
              <w:t>13.525</w:t>
            </w:r>
          </w:p>
        </w:tc>
        <w:tc>
          <w:tcPr>
            <w:tcW w:type="dxa" w:w="2466"/>
            <w:vAlign w:val="center"/>
          </w:tcPr>
          <w:p>
            <w:pPr>
              <w:keepNext w:val="0"/>
              <w:widowControl/>
              <w:spacing w:line="269" w:lineRule="auto" w:after="0"/>
              <w:ind w:firstLine="0"/>
              <w:jc w:val="center"/>
            </w:pPr>
            <w:r>
              <w:rPr>
                <w:rFonts w:ascii="Times New Roman" w:hAnsi="Times New Roman" w:eastAsia="宋体"/>
                <w:b w:val="0"/>
                <w:strike w:val="0"/>
                <w:color w:val="000000"/>
                <w:sz w:val="20"/>
              </w:rPr>
              <w:t>10.365</w:t>
            </w:r>
          </w:p>
        </w:tc>
        <w:tc>
          <w:tcPr>
            <w:tcW w:type="dxa" w:w="2466"/>
            <w:vAlign w:val="center"/>
          </w:tcPr>
          <w:p>
            <w:pPr>
              <w:keepNext w:val="0"/>
              <w:widowControl/>
              <w:spacing w:line="269" w:lineRule="auto" w:after="0"/>
              <w:ind w:firstLine="0"/>
              <w:jc w:val="center"/>
            </w:pPr>
            <w:r>
              <w:rPr>
                <w:rFonts w:ascii="Times New Roman" w:hAnsi="Times New Roman" w:eastAsia="宋体"/>
                <w:b w:val="0"/>
                <w:strike w:val="0"/>
                <w:color w:val="000000"/>
                <w:sz w:val="20"/>
              </w:rPr>
              <w:t>13.252</w:t>
            </w:r>
          </w:p>
        </w:tc>
      </w:tr>
    </w:tbl>
    <w:p>
      <w:pPr>
        <w:widowControl/>
        <w:spacing w:before="120"/>
        <w:jc w:val="both"/>
      </w:pPr>
      <w:r>
        <w:rPr>
          <w:rFonts w:ascii="Times New Roman" w:hAnsi="Times New Roman" w:eastAsia="宋体"/>
          <w:b w:val="0"/>
          <w:strike w:val="0"/>
          <w:color w:val="000000"/>
          <w:sz w:val="22"/>
        </w:rPr>
        <w:t>审计增加的平均请求时间为 2.887 s，中位数为 2.634 s；累计请求时间增加 27.85%。这里的时间按模型请求统计，与正文 AUTOSAR 完整流程时间分别计量。</w:t>
      </w:r>
    </w:p>
    <w:p>
      <w:pPr>
        <w:pStyle w:val="Heading1"/>
        <w:widowControl/>
      </w:pPr>
      <w:r>
        <w:rPr>
          <w:rFonts w:ascii="Times New Roman" w:hAnsi="Times New Roman" w:eastAsia="宋体"/>
          <w:b w:val="0"/>
          <w:strike w:val="0"/>
          <w:color w:val="000000"/>
          <w:sz w:val="26"/>
        </w:rPr>
        <w:t>附录 C 铁路模型生成与修复</w:t>
      </w:r>
    </w:p>
    <w:p>
      <w:pPr>
        <w:pStyle w:val="Heading2"/>
        <w:widowControl/>
      </w:pPr>
      <w:r>
        <w:rPr>
          <w:rFonts w:ascii="Times New Roman" w:hAnsi="Times New Roman" w:eastAsia="宋体"/>
          <w:b w:val="0"/>
          <w:strike w:val="0"/>
          <w:color w:val="000000"/>
          <w:sz w:val="23"/>
        </w:rPr>
        <w:t>C.1 模型来源与检查</w:t>
      </w:r>
    </w:p>
    <w:p>
      <w:pPr>
        <w:widowControl/>
        <w:jc w:val="both"/>
      </w:pPr>
      <w:r>
        <w:rPr>
          <w:rFonts w:ascii="Times New Roman" w:hAnsi="Times New Roman" w:eastAsia="宋体"/>
          <w:b w:val="0"/>
          <w:strike w:val="0"/>
          <w:color w:val="000000"/>
          <w:sz w:val="22"/>
        </w:rPr>
        <w:t>实验复用 Train Benchmark 的元模型和六条 VIATRA 查询</w:t>
      </w:r>
      <w:hyperlink r:id="rId43" w:tooltip="TrainBenchmark2018">
        <w:r>
          <w:rPr>
            <w:rFonts w:ascii="Times New Roman" w:hAnsi="Times New Roman" w:eastAsia="宋体"/>
            <w:color w:val="FF0000"/>
            <w:sz w:val="18"/>
            <w:u w:val="none"/>
            <w:vertAlign w:val="superscript"/>
          </w:rPr>
          <w:t>[31]</w:t>
        </w:r>
      </w:hyperlink>
      <w:r>
        <w:rPr>
          <w:rFonts w:ascii="Times New Roman" w:hAnsi="Times New Roman" w:eastAsia="宋体"/>
          <w:b w:val="0"/>
          <w:strike w:val="0"/>
          <w:color w:val="000000"/>
          <w:sz w:val="22"/>
        </w:rPr>
        <w:t>，作者设计服务衔接、维护预备和冗余监测三类任务，并应用于链式、分支汇合、环、自环、共享道岔、分离线路、多区域和分支环八种布局。任务规格规定对象、固定物理连接、允许赋值字段以及必须保持的服务状态和监测关系。作者将这些任务要求明确写入结构化规格，系统据此形成任务相关的约束表示和结构计划；实现中该任务产物命名为 ICM，用于绑定本次对象与要求，与方法中的可复用领域约束资源分别说明。领域检查沿用上述原生查询。</w:t>
      </w:r>
    </w:p>
    <w:p>
      <w:pPr>
        <w:keepNext/>
        <w:widowControl/>
        <w:ind w:firstLine="0"/>
        <w:jc w:val="left"/>
      </w:pPr>
      <w:r>
        <w:rPr>
          <w:rFonts w:ascii="Times New Roman" w:hAnsi="Times New Roman" w:eastAsia="宋体"/>
          <w:b/>
          <w:strike w:val="0"/>
          <w:color w:val="000000"/>
          <w:sz w:val="20"/>
        </w:rPr>
        <w:t>表 C1 六条原生查询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376"/>
        <w:gridCol w:w="7488"/>
      </w:tblGrid>
      <w:tr>
        <w:trPr>
          <w:cantSplit/>
          <w:tblHeader/>
        </w:trPr>
        <w:tc>
          <w:tcPr>
            <w:tcW w:type="dxa" w:w="237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查询</w:t>
            </w:r>
          </w:p>
        </w:tc>
        <w:tc>
          <w:tcPr>
            <w:tcW w:type="dxa" w:w="748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本实验执行的性质</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PosLength</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区段长度为正</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SwitchMonitored</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每个道岔应被传感器监测</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SwitchSet</w:t>
            </w:r>
          </w:p>
        </w:tc>
        <w:tc>
          <w:tcPr>
            <w:tcW w:type="dxa" w:w="7488"/>
            <w:vAlign w:val="center"/>
          </w:tcPr>
          <w:p>
            <w:pPr>
              <w:keepNext/>
              <w:widowControl/>
              <w:spacing w:line="269" w:lineRule="auto" w:after="0"/>
              <w:ind w:firstLine="0"/>
              <w:jc w:val="left"/>
            </w:pPr>
            <w:r>
              <w:rPr>
                <w:rFonts w:ascii="Times New Roman" w:hAnsi="Times New Roman" w:eastAsia="宋体"/>
                <w:b w:val="0"/>
                <w:strike w:val="0"/>
                <w:color w:val="000000"/>
                <w:sz w:val="20"/>
              </w:rPr>
              <w:t>对启用且入口信号为 GO 的路径，计划道岔设置与实际位置一致</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RouteSensor</w:t>
            </w:r>
          </w:p>
        </w:tc>
        <w:tc>
          <w:tcPr>
            <w:tcW w:type="dxa" w:w="7488"/>
            <w:vAlign w:val="center"/>
          </w:tcPr>
          <w:p>
            <w:pPr>
              <w:keepNext/>
              <w:widowControl/>
              <w:spacing w:line="269" w:lineRule="auto" w:after="0"/>
              <w:ind w:firstLine="0"/>
              <w:jc w:val="center"/>
            </w:pPr>
            <w:r>
              <w:rPr>
                <w:rFonts w:ascii="Times New Roman" w:hAnsi="Times New Roman" w:eastAsia="宋体"/>
                <w:b w:val="0"/>
                <w:strike w:val="0"/>
                <w:color w:val="000000"/>
                <w:sz w:val="20"/>
              </w:rPr>
              <w:t>路径包含对其计划道岔实施监测的传感器要求</w:t>
            </w:r>
          </w:p>
        </w:tc>
      </w:tr>
      <w:tr>
        <w:trPr>
          <w:cantSplit/>
        </w:trPr>
        <w:tc>
          <w:tcPr>
            <w:tcW w:type="dxa" w:w="2376"/>
            <w:vAlign w:val="center"/>
          </w:tcPr>
          <w:p>
            <w:pPr>
              <w:keepNext/>
              <w:widowControl/>
              <w:spacing w:line="269" w:lineRule="auto" w:after="0"/>
              <w:ind w:firstLine="0"/>
              <w:jc w:val="left"/>
            </w:pPr>
            <w:r>
              <w:rPr>
                <w:rFonts w:ascii="Times New Roman" w:hAnsi="Times New Roman" w:eastAsia="宋体"/>
                <w:b w:val="0"/>
                <w:strike w:val="0"/>
                <w:color w:val="000000"/>
                <w:sz w:val="20"/>
              </w:rPr>
              <w:t>ConnectedSegments</w:t>
            </w:r>
          </w:p>
        </w:tc>
        <w:tc>
          <w:tcPr>
            <w:tcW w:type="dxa" w:w="7488"/>
            <w:vAlign w:val="center"/>
          </w:tcPr>
          <w:p>
            <w:pPr>
              <w:keepNext/>
              <w:widowControl/>
              <w:spacing w:line="269" w:lineRule="auto" w:after="0"/>
              <w:ind w:firstLine="0"/>
              <w:jc w:val="left"/>
            </w:pPr>
            <w:r>
              <w:rPr>
                <w:rFonts w:ascii="Times New Roman" w:hAnsi="Times New Roman" w:eastAsia="宋体"/>
                <w:b w:val="0"/>
                <w:strike w:val="0"/>
                <w:color w:val="000000"/>
                <w:sz w:val="20"/>
              </w:rPr>
              <w:t>同一传感器不监测形成六区段有向游走的所有区段；顶点不要求互异</w:t>
            </w:r>
          </w:p>
        </w:tc>
      </w:tr>
      <w:tr>
        <w:trPr>
          <w:cantSplit/>
        </w:trPr>
        <w:tc>
          <w:tcPr>
            <w:tcW w:type="dxa" w:w="2376"/>
            <w:vAlign w:val="center"/>
          </w:tcPr>
          <w:p>
            <w:pPr>
              <w:keepNext w:val="0"/>
              <w:widowControl/>
              <w:spacing w:line="269" w:lineRule="auto" w:after="0"/>
              <w:ind w:firstLine="0"/>
              <w:jc w:val="left"/>
            </w:pPr>
            <w:r>
              <w:rPr>
                <w:rFonts w:ascii="Times New Roman" w:hAnsi="Times New Roman" w:eastAsia="宋体"/>
                <w:b w:val="0"/>
                <w:strike w:val="0"/>
                <w:color w:val="000000"/>
                <w:sz w:val="20"/>
              </w:rPr>
              <w:t>SemaphoreNeighbor</w:t>
            </w:r>
          </w:p>
        </w:tc>
        <w:tc>
          <w:tcPr>
            <w:tcW w:type="dxa" w:w="7488"/>
            <w:vAlign w:val="center"/>
          </w:tcPr>
          <w:p>
            <w:pPr>
              <w:keepNext w:val="0"/>
              <w:widowControl/>
              <w:spacing w:line="269" w:lineRule="auto" w:after="0"/>
              <w:ind w:firstLine="0"/>
              <w:jc w:val="left"/>
            </w:pPr>
            <w:r>
              <w:rPr>
                <w:rFonts w:ascii="Times New Roman" w:hAnsi="Times New Roman" w:eastAsia="宋体"/>
                <w:b w:val="0"/>
                <w:strike w:val="0"/>
                <w:color w:val="000000"/>
                <w:sz w:val="20"/>
              </w:rPr>
              <w:t>不同路径要求的传感器所监测的相邻轨道满足原查询规定的公共边界信号机关联</w:t>
            </w:r>
          </w:p>
        </w:tc>
      </w:tr>
    </w:tbl>
    <w:p>
      <w:pPr>
        <w:widowControl/>
        <w:spacing w:before="120"/>
        <w:jc w:val="both"/>
      </w:pPr>
      <w:r>
        <w:rPr>
          <w:rFonts w:ascii="Times New Roman" w:hAnsi="Times New Roman" w:eastAsia="宋体"/>
          <w:b w:val="0"/>
          <w:strike w:val="0"/>
          <w:color w:val="000000"/>
          <w:sz w:val="22"/>
        </w:rPr>
        <w:t>生成输出经字段域和引用范围检查后装配为 XMI。验证直接加载该 XMI，执行 EMF 模型诊断和 VIATRA 查询，并与独立编写的关系查询交叉核对匹配集合。原任务验收另行检查指定状态、关系及受保护内容。</w:t>
      </w:r>
    </w:p>
    <w:p>
      <w:pPr>
        <w:pStyle w:val="Heading2"/>
        <w:widowControl/>
      </w:pPr>
      <w:r>
        <w:rPr>
          <w:rFonts w:ascii="Times New Roman" w:hAnsi="Times New Roman" w:eastAsia="宋体"/>
          <w:b w:val="0"/>
          <w:strike w:val="0"/>
          <w:color w:val="000000"/>
          <w:sz w:val="23"/>
        </w:rPr>
        <w:t>C.2 条件与补充集合</w:t>
      </w:r>
    </w:p>
    <w:p>
      <w:pPr>
        <w:widowControl/>
        <w:jc w:val="both"/>
      </w:pPr>
      <w:r>
        <w:rPr>
          <w:rFonts w:ascii="Times New Roman" w:hAnsi="Times New Roman" w:eastAsia="宋体"/>
          <w:b w:val="0"/>
          <w:strike w:val="0"/>
          <w:color w:val="000000"/>
          <w:sz w:val="22"/>
        </w:rPr>
        <w:t>主实验使用 gpt-5.6-luna、low 推理强度、温度 1.0、128,000 词元最大输出预算及三个固定种子。初始生成 G0 的两个分支分别为自修复 GS 和验证反馈修复 GF。受控集合中，自修复 S 获得公共规则、当前模型及允许字段，采用与 Self-Refine 相关的自我检查思路</w:t>
      </w:r>
      <w:hyperlink r:id="rId28" w:tooltip="madaanSelfRefineIterativeRefinement2023">
        <w:r>
          <w:rPr>
            <w:rFonts w:ascii="Times New Roman" w:hAnsi="Times New Roman" w:eastAsia="宋体"/>
            <w:color w:val="FF0000"/>
            <w:sz w:val="18"/>
            <w:u w:val="none"/>
            <w:vertAlign w:val="superscript"/>
          </w:rPr>
          <w:t>[23]</w:t>
        </w:r>
      </w:hyperlink>
      <w:r>
        <w:rPr>
          <w:rFonts w:ascii="Times New Roman" w:hAnsi="Times New Roman" w:eastAsia="宋体"/>
          <w:b w:val="0"/>
          <w:strike w:val="0"/>
          <w:color w:val="000000"/>
          <w:sz w:val="22"/>
        </w:rPr>
        <w:t>；V 增加验证反馈与非回归接纳，F 进一步提供违规位置、局部候选和依赖信息。每个分支最多两轮，每轮最多修改六个显式字段，拒绝或无进展时可以提前停止。</w:t>
      </w:r>
    </w:p>
    <w:p>
      <w:pPr>
        <w:keepNext/>
        <w:widowControl/>
        <w:ind w:firstLine="0"/>
        <w:jc w:val="left"/>
      </w:pPr>
      <w:r>
        <w:rPr>
          <w:rFonts w:ascii="Times New Roman" w:hAnsi="Times New Roman" w:eastAsia="宋体"/>
          <w:b/>
          <w:strike w:val="0"/>
          <w:color w:val="000000"/>
          <w:sz w:val="20"/>
        </w:rPr>
        <w:t>表 C2 实验集合与严格成功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978"/>
        <w:gridCol w:w="3149"/>
        <w:gridCol w:w="1978"/>
        <w:gridCol w:w="2760"/>
      </w:tblGrid>
      <w:tr>
        <w:trPr>
          <w:cantSplit/>
          <w:tblHeader/>
        </w:trPr>
        <w:tc>
          <w:tcPr>
            <w:tcW w:type="dxa" w:w="197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集合</w:t>
            </w:r>
          </w:p>
        </w:tc>
        <w:tc>
          <w:tcPr>
            <w:tcW w:type="dxa" w:w="314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输入规模</w:t>
            </w:r>
          </w:p>
        </w:tc>
        <w:tc>
          <w:tcPr>
            <w:tcW w:type="dxa" w:w="197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比较条件</w:t>
            </w:r>
          </w:p>
        </w:tc>
        <w:tc>
          <w:tcPr>
            <w:tcW w:type="dxa" w:w="276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严格成功</w:t>
            </w:r>
          </w:p>
        </w:tc>
      </w:tr>
      <w:tr>
        <w:trPr>
          <w:cantSplit/>
        </w:trPr>
        <w:tc>
          <w:tcPr>
            <w:tcW w:type="dxa" w:w="1978"/>
            <w:vAlign w:val="center"/>
          </w:tcPr>
          <w:p>
            <w:pPr>
              <w:keepNext/>
              <w:widowControl/>
              <w:spacing w:line="269" w:lineRule="auto" w:after="0"/>
              <w:ind w:firstLine="0"/>
              <w:jc w:val="left"/>
            </w:pPr>
            <w:r>
              <w:rPr>
                <w:rFonts w:ascii="Times New Roman" w:hAnsi="Times New Roman" w:eastAsia="宋体"/>
                <w:b w:val="0"/>
                <w:strike w:val="0"/>
                <w:color w:val="000000"/>
                <w:sz w:val="20"/>
              </w:rPr>
              <w:t>生成</w:t>
            </w:r>
          </w:p>
        </w:tc>
        <w:tc>
          <w:tcPr>
            <w:tcW w:type="dxa" w:w="3149"/>
            <w:vAlign w:val="center"/>
          </w:tcPr>
          <w:p>
            <w:pPr>
              <w:keepNext/>
              <w:widowControl/>
              <w:spacing w:line="269" w:lineRule="auto" w:after="0"/>
              <w:ind w:firstLine="0"/>
              <w:jc w:val="center"/>
            </w:pPr>
            <w:r>
              <w:rPr>
                <w:rFonts w:ascii="Times New Roman" w:hAnsi="Times New Roman" w:eastAsia="宋体"/>
                <w:b w:val="0"/>
                <w:strike w:val="0"/>
                <w:color w:val="000000"/>
                <w:sz w:val="20"/>
              </w:rPr>
              <w:t>24 任务各三次，共 72 起点</w:t>
            </w:r>
          </w:p>
        </w:tc>
        <w:tc>
          <w:tcPr>
            <w:tcW w:type="dxa" w:w="1978"/>
            <w:vAlign w:val="center"/>
          </w:tcPr>
          <w:p>
            <w:pPr>
              <w:keepNext/>
              <w:widowControl/>
              <w:spacing w:line="269" w:lineRule="auto" w:after="0"/>
              <w:ind w:firstLine="0"/>
              <w:jc w:val="center"/>
            </w:pPr>
            <w:r>
              <w:rPr>
                <w:rFonts w:ascii="Times New Roman" w:hAnsi="Times New Roman" w:eastAsia="宋体"/>
                <w:b w:val="0"/>
                <w:strike w:val="0"/>
                <w:color w:val="000000"/>
                <w:sz w:val="20"/>
              </w:rPr>
              <w:t>G0／GS／GF</w:t>
            </w:r>
          </w:p>
        </w:tc>
        <w:tc>
          <w:tcPr>
            <w:tcW w:type="dxa" w:w="2760"/>
            <w:vAlign w:val="center"/>
          </w:tcPr>
          <w:p>
            <w:pPr>
              <w:keepNext/>
              <w:widowControl/>
              <w:spacing w:line="269" w:lineRule="auto" w:after="0"/>
              <w:ind w:firstLine="0"/>
              <w:jc w:val="center"/>
            </w:pPr>
            <w:r>
              <w:rPr>
                <w:rFonts w:ascii="Times New Roman" w:hAnsi="Times New Roman" w:eastAsia="宋体"/>
                <w:b w:val="0"/>
                <w:strike w:val="0"/>
                <w:color w:val="000000"/>
                <w:sz w:val="20"/>
              </w:rPr>
              <w:t>23／29／51，分母均为 72</w:t>
            </w:r>
          </w:p>
        </w:tc>
      </w:tr>
      <w:tr>
        <w:trPr>
          <w:cantSplit/>
        </w:trPr>
        <w:tc>
          <w:tcPr>
            <w:tcW w:type="dxa" w:w="1978"/>
            <w:vAlign w:val="center"/>
          </w:tcPr>
          <w:p>
            <w:pPr>
              <w:keepNext/>
              <w:widowControl/>
              <w:spacing w:line="269" w:lineRule="auto" w:after="0"/>
              <w:ind w:firstLine="0"/>
              <w:jc w:val="left"/>
            </w:pPr>
            <w:r>
              <w:rPr>
                <w:rFonts w:ascii="Times New Roman" w:hAnsi="Times New Roman" w:eastAsia="宋体"/>
                <w:b w:val="0"/>
                <w:strike w:val="0"/>
                <w:color w:val="000000"/>
                <w:sz w:val="20"/>
              </w:rPr>
              <w:t>固定损坏</w:t>
            </w:r>
          </w:p>
        </w:tc>
        <w:tc>
          <w:tcPr>
            <w:tcW w:type="dxa" w:w="3149"/>
            <w:vAlign w:val="center"/>
          </w:tcPr>
          <w:p>
            <w:pPr>
              <w:keepNext/>
              <w:widowControl/>
              <w:spacing w:line="269" w:lineRule="auto" w:after="0"/>
              <w:ind w:firstLine="0"/>
              <w:jc w:val="left"/>
            </w:pPr>
            <w:r>
              <w:rPr>
                <w:rFonts w:ascii="Times New Roman" w:hAnsi="Times New Roman" w:eastAsia="宋体"/>
                <w:b w:val="0"/>
                <w:strike w:val="0"/>
                <w:color w:val="000000"/>
                <w:sz w:val="20"/>
              </w:rPr>
              <w:t>每任务一项单故障及一项复合故障；复合模型含 12 个耦合、12 个并发，各三次</w:t>
            </w:r>
          </w:p>
        </w:tc>
        <w:tc>
          <w:tcPr>
            <w:tcW w:type="dxa" w:w="1978"/>
            <w:vAlign w:val="center"/>
          </w:tcPr>
          <w:p>
            <w:pPr>
              <w:keepNext/>
              <w:widowControl/>
              <w:spacing w:line="269" w:lineRule="auto" w:after="0"/>
              <w:ind w:firstLine="0"/>
              <w:jc w:val="center"/>
            </w:pPr>
            <w:r>
              <w:rPr>
                <w:rFonts w:ascii="Times New Roman" w:hAnsi="Times New Roman" w:eastAsia="宋体"/>
                <w:b w:val="0"/>
                <w:strike w:val="0"/>
                <w:color w:val="000000"/>
                <w:sz w:val="20"/>
              </w:rPr>
              <w:t>S／V／F</w:t>
            </w:r>
          </w:p>
        </w:tc>
        <w:tc>
          <w:tcPr>
            <w:tcW w:type="dxa" w:w="2760"/>
            <w:vAlign w:val="center"/>
          </w:tcPr>
          <w:p>
            <w:pPr>
              <w:keepNext/>
              <w:widowControl/>
              <w:spacing w:line="269" w:lineRule="auto" w:after="0"/>
              <w:ind w:firstLine="0"/>
              <w:jc w:val="center"/>
            </w:pPr>
            <w:r>
              <w:rPr>
                <w:rFonts w:ascii="Times New Roman" w:hAnsi="Times New Roman" w:eastAsia="宋体"/>
                <w:b w:val="0"/>
                <w:strike w:val="0"/>
                <w:color w:val="000000"/>
                <w:sz w:val="20"/>
              </w:rPr>
              <w:t>129／140／141，分母均为 144</w:t>
            </w:r>
          </w:p>
        </w:tc>
      </w:tr>
      <w:tr>
        <w:trPr>
          <w:cantSplit/>
        </w:trPr>
        <w:tc>
          <w:tcPr>
            <w:tcW w:type="dxa" w:w="1978"/>
            <w:vAlign w:val="center"/>
          </w:tcPr>
          <w:p>
            <w:pPr>
              <w:keepNext/>
              <w:widowControl/>
              <w:spacing w:line="269" w:lineRule="auto" w:after="0"/>
              <w:ind w:firstLine="0"/>
              <w:jc w:val="left"/>
            </w:pPr>
            <w:r>
              <w:rPr>
                <w:rFonts w:ascii="Times New Roman" w:hAnsi="Times New Roman" w:eastAsia="宋体"/>
                <w:b w:val="0"/>
                <w:strike w:val="0"/>
                <w:color w:val="000000"/>
                <w:sz w:val="20"/>
              </w:rPr>
              <w:t>任务义务故障</w:t>
            </w:r>
          </w:p>
        </w:tc>
        <w:tc>
          <w:tcPr>
            <w:tcW w:type="dxa" w:w="3149"/>
            <w:vAlign w:val="center"/>
          </w:tcPr>
          <w:p>
            <w:pPr>
              <w:keepNext/>
              <w:widowControl/>
              <w:spacing w:line="269" w:lineRule="auto" w:after="0"/>
              <w:ind w:firstLine="0"/>
              <w:jc w:val="center"/>
            </w:pPr>
            <w:r>
              <w:rPr>
                <w:rFonts w:ascii="Times New Roman" w:hAnsi="Times New Roman" w:eastAsia="宋体"/>
                <w:b w:val="0"/>
                <w:strike w:val="0"/>
                <w:color w:val="000000"/>
                <w:sz w:val="20"/>
              </w:rPr>
              <w:t>24 输入各三次</w:t>
            </w:r>
          </w:p>
        </w:tc>
        <w:tc>
          <w:tcPr>
            <w:tcW w:type="dxa" w:w="1978"/>
            <w:vAlign w:val="center"/>
          </w:tcPr>
          <w:p>
            <w:pPr>
              <w:keepNext/>
              <w:widowControl/>
              <w:spacing w:line="269" w:lineRule="auto" w:after="0"/>
              <w:ind w:firstLine="0"/>
              <w:jc w:val="center"/>
            </w:pPr>
            <w:r>
              <w:rPr>
                <w:rFonts w:ascii="Times New Roman" w:hAnsi="Times New Roman" w:eastAsia="宋体"/>
                <w:b w:val="0"/>
                <w:strike w:val="0"/>
                <w:color w:val="000000"/>
                <w:sz w:val="20"/>
              </w:rPr>
              <w:t>S／V／F</w:t>
            </w:r>
          </w:p>
        </w:tc>
        <w:tc>
          <w:tcPr>
            <w:tcW w:type="dxa" w:w="2760"/>
            <w:vAlign w:val="center"/>
          </w:tcPr>
          <w:p>
            <w:pPr>
              <w:keepNext/>
              <w:widowControl/>
              <w:spacing w:line="269" w:lineRule="auto" w:after="0"/>
              <w:ind w:firstLine="0"/>
              <w:jc w:val="center"/>
            </w:pPr>
            <w:r>
              <w:rPr>
                <w:rFonts w:ascii="Times New Roman" w:hAnsi="Times New Roman" w:eastAsia="宋体"/>
                <w:b w:val="0"/>
                <w:strike w:val="0"/>
                <w:color w:val="000000"/>
                <w:sz w:val="20"/>
              </w:rPr>
              <w:t>67／69／72，分母均为 72</w:t>
            </w:r>
          </w:p>
        </w:tc>
      </w:tr>
      <w:tr>
        <w:trPr>
          <w:cantSplit/>
        </w:trPr>
        <w:tc>
          <w:tcPr>
            <w:tcW w:type="dxa" w:w="1978"/>
            <w:vAlign w:val="center"/>
          </w:tcPr>
          <w:p>
            <w:pPr>
              <w:keepNext w:val="0"/>
              <w:widowControl/>
              <w:spacing w:line="269" w:lineRule="auto" w:after="0"/>
              <w:ind w:firstLine="0"/>
              <w:jc w:val="left"/>
            </w:pPr>
            <w:r>
              <w:rPr>
                <w:rFonts w:ascii="Times New Roman" w:hAnsi="Times New Roman" w:eastAsia="宋体"/>
                <w:b w:val="0"/>
                <w:strike w:val="0"/>
                <w:color w:val="000000"/>
                <w:sz w:val="20"/>
              </w:rPr>
              <w:t>正确性保持</w:t>
            </w:r>
          </w:p>
        </w:tc>
        <w:tc>
          <w:tcPr>
            <w:tcW w:type="dxa" w:w="3149"/>
            <w:vAlign w:val="center"/>
          </w:tcPr>
          <w:p>
            <w:pPr>
              <w:keepNext w:val="0"/>
              <w:widowControl/>
              <w:spacing w:line="269" w:lineRule="auto" w:after="0"/>
              <w:ind w:firstLine="0"/>
              <w:jc w:val="center"/>
            </w:pPr>
            <w:r>
              <w:rPr>
                <w:rFonts w:ascii="Times New Roman" w:hAnsi="Times New Roman" w:eastAsia="宋体"/>
                <w:b w:val="0"/>
                <w:strike w:val="0"/>
                <w:color w:val="000000"/>
                <w:sz w:val="20"/>
              </w:rPr>
              <w:t>3 正确输入各三次</w:t>
            </w:r>
          </w:p>
        </w:tc>
        <w:tc>
          <w:tcPr>
            <w:tcW w:type="dxa" w:w="1978"/>
            <w:vAlign w:val="center"/>
          </w:tcPr>
          <w:p>
            <w:pPr>
              <w:keepNext w:val="0"/>
              <w:widowControl/>
              <w:spacing w:line="269" w:lineRule="auto" w:after="0"/>
              <w:ind w:firstLine="0"/>
              <w:jc w:val="center"/>
            </w:pPr>
            <w:r>
              <w:rPr>
                <w:rFonts w:ascii="Times New Roman" w:hAnsi="Times New Roman" w:eastAsia="宋体"/>
                <w:b w:val="0"/>
                <w:strike w:val="0"/>
                <w:color w:val="000000"/>
                <w:sz w:val="20"/>
              </w:rPr>
              <w:t>S／V／F</w:t>
            </w:r>
          </w:p>
        </w:tc>
        <w:tc>
          <w:tcPr>
            <w:tcW w:type="dxa" w:w="2760"/>
            <w:vAlign w:val="center"/>
          </w:tcPr>
          <w:p>
            <w:pPr>
              <w:keepNext w:val="0"/>
              <w:widowControl/>
              <w:spacing w:line="269" w:lineRule="auto" w:after="0"/>
              <w:ind w:firstLine="0"/>
              <w:jc w:val="center"/>
            </w:pPr>
            <w:r>
              <w:rPr>
                <w:rFonts w:ascii="Times New Roman" w:hAnsi="Times New Roman" w:eastAsia="宋体"/>
                <w:b w:val="0"/>
                <w:strike w:val="0"/>
                <w:color w:val="000000"/>
                <w:sz w:val="20"/>
              </w:rPr>
              <w:t>各 9/9</w:t>
            </w:r>
          </w:p>
        </w:tc>
      </w:tr>
    </w:tbl>
    <w:p>
      <w:pPr>
        <w:widowControl/>
        <w:spacing w:before="120"/>
        <w:jc w:val="both"/>
      </w:pPr>
      <w:r>
        <w:rPr>
          <w:rFonts w:ascii="Times New Roman" w:hAnsi="Times New Roman" w:eastAsia="宋体"/>
          <w:b w:val="0"/>
          <w:strike w:val="0"/>
          <w:color w:val="000000"/>
          <w:sz w:val="22"/>
        </w:rPr>
        <w:t>任务义务故障将任务要求的路径启用状态反转，包括 16 个误停用和 8 个误启用案例；这些输入仍通过原生领域查询，却不满足本次任务。这一对照使任务验收的作用单独可见。正确性保持集合则检查修复流程能否保留已经满足要求的结果。</w:t>
      </w:r>
    </w:p>
    <w:p>
      <w:pPr>
        <w:widowControl/>
        <w:jc w:val="both"/>
      </w:pPr>
      <w:r>
        <w:rPr>
          <w:rFonts w:ascii="Times New Roman" w:hAnsi="Times New Roman" w:eastAsia="宋体"/>
          <w:b w:val="0"/>
          <w:strike w:val="0"/>
          <w:color w:val="000000"/>
          <w:sz w:val="22"/>
        </w:rPr>
        <w:t>主实验的 49 个失败起点中，48 个已形成模型。GF 恢复其中 28 个；余下 20 个均仍有 SemaphoreNeighbor 违反。停止原因包括 16 个提案因使已有检查退化而被拒绝、3 个弃权和 1 个提案未消除违反；另有 1 个起点在初始赋值阶段未获接纳。当前流程能够阻止退化修改，但没有为所有关系组合找到可接纳修复。</w:t>
      </w:r>
    </w:p>
    <w:p>
      <w:pPr>
        <w:widowControl/>
        <w:jc w:val="both"/>
      </w:pPr>
      <w:r>
        <w:rPr>
          <w:rFonts w:ascii="Times New Roman" w:hAnsi="Times New Roman" w:eastAsia="宋体"/>
          <w:b w:val="0"/>
          <w:strike w:val="0"/>
          <w:color w:val="000000"/>
          <w:sz w:val="22"/>
        </w:rPr>
        <w:t>同一基础任务上的结果按条件配对，先汇总该任务的重复运行及相应故障，再对 24 个任务等权计算成功率差。表 C3 的差值为前一条件减去后一条件，单位为百分点；区间通过对基础任务进行 9,999 次配对重采样估计。四项比较按 0.05 的名义误差水平分配，每项报告 1 − 0.05/4 = 98.75% 的名义边际百分位区间；三次重复保留在各自任务内，基础任务数为 24。</w:t>
      </w:r>
    </w:p>
    <w:p>
      <w:pPr>
        <w:keepNext/>
        <w:widowControl/>
        <w:ind w:firstLine="0"/>
        <w:jc w:val="left"/>
      </w:pPr>
      <w:r>
        <w:rPr>
          <w:rFonts w:ascii="Times New Roman" w:hAnsi="Times New Roman" w:eastAsia="宋体"/>
          <w:b/>
          <w:strike w:val="0"/>
          <w:color w:val="000000"/>
          <w:sz w:val="20"/>
        </w:rPr>
        <w:t>表 C3 铁路主实验的成功率差及区间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931"/>
        <w:gridCol w:w="2358"/>
        <w:gridCol w:w="3575"/>
      </w:tblGrid>
      <w:tr>
        <w:trPr>
          <w:cantSplit/>
          <w:tblHeader/>
        </w:trPr>
        <w:tc>
          <w:tcPr>
            <w:tcW w:type="dxa" w:w="3931"/>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比较条件</w:t>
            </w:r>
          </w:p>
        </w:tc>
        <w:tc>
          <w:tcPr>
            <w:tcW w:type="dxa" w:w="235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成功率差／百分点</w:t>
            </w:r>
          </w:p>
        </w:tc>
        <w:tc>
          <w:tcPr>
            <w:tcW w:type="dxa" w:w="3575"/>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98.75% 重采样区间／百分点</w:t>
            </w:r>
          </w:p>
        </w:tc>
      </w:tr>
      <w:tr>
        <w:trPr>
          <w:cantSplit/>
        </w:trPr>
        <w:tc>
          <w:tcPr>
            <w:tcW w:type="dxa" w:w="3931"/>
            <w:vAlign w:val="center"/>
          </w:tcPr>
          <w:p>
            <w:pPr>
              <w:keepNext/>
              <w:widowControl/>
              <w:spacing w:line="269" w:lineRule="auto" w:after="0"/>
              <w:ind w:firstLine="0"/>
              <w:jc w:val="left"/>
            </w:pPr>
            <w:r>
              <w:rPr>
                <w:rFonts w:ascii="Times New Roman" w:hAnsi="Times New Roman" w:eastAsia="宋体"/>
                <w:b w:val="0"/>
                <w:strike w:val="0"/>
                <w:color w:val="000000"/>
                <w:sz w:val="20"/>
              </w:rPr>
              <w:t>自然生成 验证反馈修复 − 初始生成</w:t>
            </w:r>
          </w:p>
        </w:tc>
        <w:tc>
          <w:tcPr>
            <w:tcW w:type="dxa" w:w="2358"/>
            <w:vAlign w:val="center"/>
          </w:tcPr>
          <w:p>
            <w:pPr>
              <w:keepNext/>
              <w:widowControl/>
              <w:spacing w:line="269" w:lineRule="auto" w:after="0"/>
              <w:ind w:firstLine="0"/>
              <w:jc w:val="center"/>
            </w:pPr>
            <w:r>
              <w:rPr>
                <w:rFonts w:ascii="Times New Roman" w:hAnsi="Times New Roman" w:eastAsia="宋体"/>
                <w:b w:val="0"/>
                <w:strike w:val="0"/>
                <w:color w:val="000000"/>
                <w:sz w:val="20"/>
              </w:rPr>
              <w:t>+38.89</w:t>
            </w:r>
          </w:p>
        </w:tc>
        <w:tc>
          <w:tcPr>
            <w:tcW w:type="dxa" w:w="3575"/>
            <w:vAlign w:val="center"/>
          </w:tcPr>
          <w:p>
            <w:pPr>
              <w:keepNext/>
              <w:widowControl/>
              <w:spacing w:line="269" w:lineRule="auto" w:after="0"/>
              <w:ind w:firstLine="0"/>
              <w:jc w:val="center"/>
            </w:pPr>
            <w:r>
              <w:rPr>
                <w:rFonts w:ascii="Times New Roman" w:hAnsi="Times New Roman" w:eastAsia="宋体"/>
                <w:b w:val="0"/>
                <w:strike w:val="0"/>
                <w:color w:val="000000"/>
                <w:sz w:val="20"/>
              </w:rPr>
              <w:t>[22.22, 56.94]</w:t>
            </w:r>
          </w:p>
        </w:tc>
      </w:tr>
      <w:tr>
        <w:trPr>
          <w:cantSplit/>
        </w:trPr>
        <w:tc>
          <w:tcPr>
            <w:tcW w:type="dxa" w:w="3931"/>
            <w:vAlign w:val="center"/>
          </w:tcPr>
          <w:p>
            <w:pPr>
              <w:keepNext/>
              <w:widowControl/>
              <w:spacing w:line="269" w:lineRule="auto" w:after="0"/>
              <w:ind w:firstLine="0"/>
              <w:jc w:val="left"/>
            </w:pPr>
            <w:r>
              <w:rPr>
                <w:rFonts w:ascii="Times New Roman" w:hAnsi="Times New Roman" w:eastAsia="宋体"/>
                <w:b w:val="0"/>
                <w:strike w:val="0"/>
                <w:color w:val="000000"/>
                <w:sz w:val="20"/>
              </w:rPr>
              <w:t>自然生成 验证反馈修复 − 自修复</w:t>
            </w:r>
          </w:p>
        </w:tc>
        <w:tc>
          <w:tcPr>
            <w:tcW w:type="dxa" w:w="2358"/>
            <w:vAlign w:val="center"/>
          </w:tcPr>
          <w:p>
            <w:pPr>
              <w:keepNext/>
              <w:widowControl/>
              <w:spacing w:line="269" w:lineRule="auto" w:after="0"/>
              <w:ind w:firstLine="0"/>
              <w:jc w:val="center"/>
            </w:pPr>
            <w:r>
              <w:rPr>
                <w:rFonts w:ascii="Times New Roman" w:hAnsi="Times New Roman" w:eastAsia="宋体"/>
                <w:b w:val="0"/>
                <w:strike w:val="0"/>
                <w:color w:val="000000"/>
                <w:sz w:val="20"/>
              </w:rPr>
              <w:t>+30.56</w:t>
            </w:r>
          </w:p>
        </w:tc>
        <w:tc>
          <w:tcPr>
            <w:tcW w:type="dxa" w:w="3575"/>
            <w:vAlign w:val="center"/>
          </w:tcPr>
          <w:p>
            <w:pPr>
              <w:keepNext/>
              <w:widowControl/>
              <w:spacing w:line="269" w:lineRule="auto" w:after="0"/>
              <w:ind w:firstLine="0"/>
              <w:jc w:val="center"/>
            </w:pPr>
            <w:r>
              <w:rPr>
                <w:rFonts w:ascii="Times New Roman" w:hAnsi="Times New Roman" w:eastAsia="宋体"/>
                <w:b w:val="0"/>
                <w:strike w:val="0"/>
                <w:color w:val="000000"/>
                <w:sz w:val="20"/>
              </w:rPr>
              <w:t>[15.28, 47.22]</w:t>
            </w:r>
          </w:p>
        </w:tc>
      </w:tr>
      <w:tr>
        <w:trPr>
          <w:cantSplit/>
        </w:trPr>
        <w:tc>
          <w:tcPr>
            <w:tcW w:type="dxa" w:w="3931"/>
            <w:vAlign w:val="center"/>
          </w:tcPr>
          <w:p>
            <w:pPr>
              <w:keepNext/>
              <w:widowControl/>
              <w:spacing w:line="269" w:lineRule="auto" w:after="0"/>
              <w:ind w:firstLine="0"/>
              <w:jc w:val="left"/>
            </w:pPr>
            <w:r>
              <w:rPr>
                <w:rFonts w:ascii="Times New Roman" w:hAnsi="Times New Roman" w:eastAsia="宋体"/>
                <w:b w:val="0"/>
                <w:strike w:val="0"/>
                <w:color w:val="000000"/>
                <w:sz w:val="20"/>
              </w:rPr>
              <w:t>受控损坏 验证反馈与定位修复 − 自修复</w:t>
            </w:r>
          </w:p>
        </w:tc>
        <w:tc>
          <w:tcPr>
            <w:tcW w:type="dxa" w:w="2358"/>
            <w:vAlign w:val="center"/>
          </w:tcPr>
          <w:p>
            <w:pPr>
              <w:keepNext/>
              <w:widowControl/>
              <w:spacing w:line="269" w:lineRule="auto" w:after="0"/>
              <w:ind w:firstLine="0"/>
              <w:jc w:val="center"/>
            </w:pPr>
            <w:r>
              <w:rPr>
                <w:rFonts w:ascii="Times New Roman" w:hAnsi="Times New Roman" w:eastAsia="宋体"/>
                <w:b w:val="0"/>
                <w:strike w:val="0"/>
                <w:color w:val="000000"/>
                <w:sz w:val="20"/>
              </w:rPr>
              <w:t>+8.33</w:t>
            </w:r>
          </w:p>
        </w:tc>
        <w:tc>
          <w:tcPr>
            <w:tcW w:type="dxa" w:w="3575"/>
            <w:vAlign w:val="center"/>
          </w:tcPr>
          <w:p>
            <w:pPr>
              <w:keepNext/>
              <w:widowControl/>
              <w:spacing w:line="269" w:lineRule="auto" w:after="0"/>
              <w:ind w:firstLine="0"/>
              <w:jc w:val="center"/>
            </w:pPr>
            <w:r>
              <w:rPr>
                <w:rFonts w:ascii="Times New Roman" w:hAnsi="Times New Roman" w:eastAsia="宋体"/>
                <w:b w:val="0"/>
                <w:strike w:val="0"/>
                <w:color w:val="000000"/>
                <w:sz w:val="20"/>
              </w:rPr>
              <w:t>[0.00, 19.44]</w:t>
            </w:r>
          </w:p>
        </w:tc>
      </w:tr>
      <w:tr>
        <w:trPr>
          <w:cantSplit/>
        </w:trPr>
        <w:tc>
          <w:tcPr>
            <w:tcW w:type="dxa" w:w="3931"/>
            <w:vAlign w:val="center"/>
          </w:tcPr>
          <w:p>
            <w:pPr>
              <w:keepNext w:val="0"/>
              <w:widowControl/>
              <w:spacing w:line="269" w:lineRule="auto" w:after="0"/>
              <w:ind w:firstLine="0"/>
              <w:jc w:val="left"/>
            </w:pPr>
            <w:r>
              <w:rPr>
                <w:rFonts w:ascii="Times New Roman" w:hAnsi="Times New Roman" w:eastAsia="宋体"/>
                <w:b w:val="0"/>
                <w:strike w:val="0"/>
                <w:color w:val="000000"/>
                <w:sz w:val="20"/>
              </w:rPr>
              <w:t>受控损坏 验证反馈与定位修复 − 验证反馈修复</w:t>
            </w:r>
          </w:p>
        </w:tc>
        <w:tc>
          <w:tcPr>
            <w:tcW w:type="dxa" w:w="2358"/>
            <w:vAlign w:val="center"/>
          </w:tcPr>
          <w:p>
            <w:pPr>
              <w:keepNext w:val="0"/>
              <w:widowControl/>
              <w:spacing w:line="269" w:lineRule="auto" w:after="0"/>
              <w:ind w:firstLine="0"/>
              <w:jc w:val="center"/>
            </w:pPr>
            <w:r>
              <w:rPr>
                <w:rFonts w:ascii="Times New Roman" w:hAnsi="Times New Roman" w:eastAsia="宋体"/>
                <w:b w:val="0"/>
                <w:strike w:val="0"/>
                <w:color w:val="000000"/>
                <w:sz w:val="20"/>
              </w:rPr>
              <w:t>+0.69</w:t>
            </w:r>
          </w:p>
        </w:tc>
        <w:tc>
          <w:tcPr>
            <w:tcW w:type="dxa" w:w="3575"/>
            <w:vAlign w:val="center"/>
          </w:tcPr>
          <w:p>
            <w:pPr>
              <w:keepNext w:val="0"/>
              <w:widowControl/>
              <w:spacing w:line="269" w:lineRule="auto" w:after="0"/>
              <w:ind w:firstLine="0"/>
              <w:jc w:val="center"/>
            </w:pPr>
            <w:r>
              <w:rPr>
                <w:rFonts w:ascii="Times New Roman" w:hAnsi="Times New Roman" w:eastAsia="宋体"/>
                <w:b w:val="0"/>
                <w:strike w:val="0"/>
                <w:color w:val="000000"/>
                <w:sz w:val="20"/>
              </w:rPr>
              <w:t>[−3.47, 5.91]</w:t>
            </w:r>
          </w:p>
        </w:tc>
      </w:tr>
    </w:tbl>
    <w:p>
      <w:pPr>
        <w:widowControl/>
        <w:spacing w:before="120"/>
        <w:jc w:val="both"/>
      </w:pPr>
      <w:r>
        <w:rPr>
          <w:rFonts w:ascii="Times New Roman" w:hAnsi="Times New Roman" w:eastAsia="宋体"/>
          <w:b w:val="0"/>
          <w:strike w:val="0"/>
          <w:color w:val="000000"/>
          <w:sz w:val="22"/>
        </w:rPr>
        <w:t>例如，验证反馈修复与自修复分别成功 51/72 和 29/72，相差 30.56 个百分点。受控损坏中，增加定位信息相对已有验证反馈净增一个成功，其差值区间包含零，尚不足以明确该额外收益。按八种线路布局重采样的敏感性分析、完整配对记录与计算脚本见复现材料的统计说明。</w:t>
      </w:r>
    </w:p>
    <w:p>
      <w:pPr>
        <w:widowControl/>
        <w:jc w:val="both"/>
      </w:pPr>
      <w:r>
        <w:rPr>
          <w:rFonts w:ascii="Times New Roman" w:hAnsi="Times New Roman" w:eastAsia="宋体"/>
          <w:b w:val="0"/>
          <w:strike w:val="0"/>
          <w:color w:val="000000"/>
          <w:sz w:val="22"/>
        </w:rPr>
        <w:t>生成 G0 的 72 份响应使用 371,575 词元，响应时间合计 812.54 s；GS 追加 81 份响应、464,875 词元与 799.19 s；GF 追加 48 份响应、335,937 词元与 635.40 s。完整修复路径的成本包含其共享生成成本和相应追加成本。铁路主实验各集合保存响应的总量为 1,074 份、6,118,127 词元、8,840.70 s。</w:t>
      </w:r>
    </w:p>
    <w:p>
      <w:pPr>
        <w:pStyle w:val="Heading2"/>
        <w:widowControl/>
      </w:pPr>
      <w:r>
        <w:rPr>
          <w:rFonts w:ascii="Times New Roman" w:hAnsi="Times New Roman" w:eastAsia="宋体"/>
          <w:b w:val="0"/>
          <w:strike w:val="0"/>
          <w:color w:val="000000"/>
          <w:sz w:val="23"/>
        </w:rPr>
        <w:t>C.3 第二模型及运行代价</w:t>
      </w:r>
    </w:p>
    <w:p>
      <w:pPr>
        <w:widowControl/>
        <w:jc w:val="both"/>
      </w:pPr>
      <w:r>
        <w:rPr>
          <w:rFonts w:ascii="Times New Roman" w:hAnsi="Times New Roman" w:eastAsia="宋体"/>
          <w:b w:val="0"/>
          <w:strike w:val="0"/>
          <w:color w:val="000000"/>
          <w:sz w:val="22"/>
        </w:rPr>
        <w:t>第二模型使用 gpt-5.6-terra、low 推理强度和固定种子 104729，沿用同一 24 个任务、检查、允许字段与修复轮数。Luna 的同任务同种子结果用于比较。</w:t>
      </w:r>
    </w:p>
    <w:p>
      <w:pPr>
        <w:keepNext/>
        <w:widowControl/>
        <w:ind w:firstLine="0"/>
        <w:jc w:val="left"/>
      </w:pPr>
      <w:r>
        <w:rPr>
          <w:rFonts w:ascii="Times New Roman" w:hAnsi="Times New Roman" w:eastAsia="宋体"/>
          <w:b/>
          <w:strike w:val="0"/>
          <w:color w:val="000000"/>
          <w:sz w:val="20"/>
        </w:rPr>
        <w:t>表 C4 两模型的同任务结果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709"/>
        <w:gridCol w:w="3505"/>
        <w:gridCol w:w="3650"/>
      </w:tblGrid>
      <w:tr>
        <w:trPr>
          <w:cantSplit/>
          <w:tblHeader/>
        </w:trPr>
        <w:tc>
          <w:tcPr>
            <w:tcW w:type="dxa" w:w="270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条件</w:t>
            </w:r>
          </w:p>
        </w:tc>
        <w:tc>
          <w:tcPr>
            <w:tcW w:type="dxa" w:w="3505"/>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Luna 严格成功</w:t>
            </w:r>
          </w:p>
        </w:tc>
        <w:tc>
          <w:tcPr>
            <w:tcW w:type="dxa" w:w="3650"/>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Terra 严格成功</w:t>
            </w:r>
          </w:p>
        </w:tc>
      </w:tr>
      <w:tr>
        <w:trPr>
          <w:cantSplit/>
        </w:trPr>
        <w:tc>
          <w:tcPr>
            <w:tcW w:type="dxa" w:w="2709"/>
            <w:vAlign w:val="center"/>
          </w:tcPr>
          <w:p>
            <w:pPr>
              <w:keepNext/>
              <w:widowControl/>
              <w:spacing w:line="269" w:lineRule="auto" w:after="0"/>
              <w:ind w:firstLine="0"/>
              <w:jc w:val="left"/>
            </w:pPr>
            <w:r>
              <w:rPr>
                <w:rFonts w:ascii="Times New Roman" w:hAnsi="Times New Roman" w:eastAsia="宋体"/>
                <w:b w:val="0"/>
                <w:strike w:val="0"/>
                <w:color w:val="000000"/>
                <w:sz w:val="20"/>
              </w:rPr>
              <w:t>G0，不修复</w:t>
            </w:r>
          </w:p>
        </w:tc>
        <w:tc>
          <w:tcPr>
            <w:tcW w:type="dxa" w:w="3505"/>
            <w:vAlign w:val="center"/>
          </w:tcPr>
          <w:p>
            <w:pPr>
              <w:keepNext/>
              <w:widowControl/>
              <w:spacing w:line="269" w:lineRule="auto" w:after="0"/>
              <w:ind w:firstLine="0"/>
              <w:jc w:val="center"/>
            </w:pPr>
            <w:r>
              <w:rPr>
                <w:rFonts w:ascii="Times New Roman" w:hAnsi="Times New Roman" w:eastAsia="宋体"/>
                <w:b w:val="0"/>
                <w:strike w:val="0"/>
                <w:color w:val="000000"/>
                <w:sz w:val="20"/>
              </w:rPr>
              <w:t>6/24（25.0%）</w:t>
            </w:r>
          </w:p>
        </w:tc>
        <w:tc>
          <w:tcPr>
            <w:tcW w:type="dxa" w:w="3650"/>
            <w:vAlign w:val="center"/>
          </w:tcPr>
          <w:p>
            <w:pPr>
              <w:keepNext/>
              <w:widowControl/>
              <w:spacing w:line="269" w:lineRule="auto" w:after="0"/>
              <w:ind w:firstLine="0"/>
              <w:jc w:val="center"/>
            </w:pPr>
            <w:r>
              <w:rPr>
                <w:rFonts w:ascii="Times New Roman" w:hAnsi="Times New Roman" w:eastAsia="宋体"/>
                <w:b w:val="0"/>
                <w:strike w:val="0"/>
                <w:color w:val="000000"/>
                <w:sz w:val="20"/>
              </w:rPr>
              <w:t>18/24（75.0%）</w:t>
            </w:r>
          </w:p>
        </w:tc>
      </w:tr>
      <w:tr>
        <w:trPr>
          <w:cantSplit/>
        </w:trPr>
        <w:tc>
          <w:tcPr>
            <w:tcW w:type="dxa" w:w="2709"/>
            <w:vAlign w:val="center"/>
          </w:tcPr>
          <w:p>
            <w:pPr>
              <w:keepNext/>
              <w:widowControl/>
              <w:spacing w:line="269" w:lineRule="auto" w:after="0"/>
              <w:ind w:firstLine="0"/>
              <w:jc w:val="left"/>
            </w:pPr>
            <w:r>
              <w:rPr>
                <w:rFonts w:ascii="Times New Roman" w:hAnsi="Times New Roman" w:eastAsia="宋体"/>
                <w:b w:val="0"/>
                <w:strike w:val="0"/>
                <w:color w:val="000000"/>
                <w:sz w:val="20"/>
              </w:rPr>
              <w:t>GS，自修复</w:t>
            </w:r>
          </w:p>
        </w:tc>
        <w:tc>
          <w:tcPr>
            <w:tcW w:type="dxa" w:w="3505"/>
            <w:vAlign w:val="center"/>
          </w:tcPr>
          <w:p>
            <w:pPr>
              <w:keepNext/>
              <w:widowControl/>
              <w:spacing w:line="269" w:lineRule="auto" w:after="0"/>
              <w:ind w:firstLine="0"/>
              <w:jc w:val="center"/>
            </w:pPr>
            <w:r>
              <w:rPr>
                <w:rFonts w:ascii="Times New Roman" w:hAnsi="Times New Roman" w:eastAsia="宋体"/>
                <w:b w:val="0"/>
                <w:strike w:val="0"/>
                <w:color w:val="000000"/>
                <w:sz w:val="20"/>
              </w:rPr>
              <w:t>8/24（33.3%）</w:t>
            </w:r>
          </w:p>
        </w:tc>
        <w:tc>
          <w:tcPr>
            <w:tcW w:type="dxa" w:w="3650"/>
            <w:vAlign w:val="center"/>
          </w:tcPr>
          <w:p>
            <w:pPr>
              <w:keepNext/>
              <w:widowControl/>
              <w:spacing w:line="269" w:lineRule="auto" w:after="0"/>
              <w:ind w:firstLine="0"/>
              <w:jc w:val="center"/>
            </w:pPr>
            <w:r>
              <w:rPr>
                <w:rFonts w:ascii="Times New Roman" w:hAnsi="Times New Roman" w:eastAsia="宋体"/>
                <w:b w:val="0"/>
                <w:strike w:val="0"/>
                <w:color w:val="000000"/>
                <w:sz w:val="20"/>
              </w:rPr>
              <w:t>22/24（91.7%）</w:t>
            </w:r>
          </w:p>
        </w:tc>
      </w:tr>
      <w:tr>
        <w:trPr>
          <w:cantSplit/>
        </w:trPr>
        <w:tc>
          <w:tcPr>
            <w:tcW w:type="dxa" w:w="2709"/>
            <w:vAlign w:val="center"/>
          </w:tcPr>
          <w:p>
            <w:pPr>
              <w:keepNext w:val="0"/>
              <w:widowControl/>
              <w:spacing w:line="269" w:lineRule="auto" w:after="0"/>
              <w:ind w:firstLine="0"/>
              <w:jc w:val="left"/>
            </w:pPr>
            <w:r>
              <w:rPr>
                <w:rFonts w:ascii="Times New Roman" w:hAnsi="Times New Roman" w:eastAsia="宋体"/>
                <w:b w:val="0"/>
                <w:strike w:val="0"/>
                <w:color w:val="000000"/>
                <w:sz w:val="20"/>
              </w:rPr>
              <w:t>GF，完整修复</w:t>
            </w:r>
          </w:p>
        </w:tc>
        <w:tc>
          <w:tcPr>
            <w:tcW w:type="dxa" w:w="3505"/>
            <w:vAlign w:val="center"/>
          </w:tcPr>
          <w:p>
            <w:pPr>
              <w:keepNext w:val="0"/>
              <w:widowControl/>
              <w:spacing w:line="269" w:lineRule="auto" w:after="0"/>
              <w:ind w:firstLine="0"/>
              <w:jc w:val="center"/>
            </w:pPr>
            <w:r>
              <w:rPr>
                <w:rFonts w:ascii="Times New Roman" w:hAnsi="Times New Roman" w:eastAsia="宋体"/>
                <w:b w:val="0"/>
                <w:strike w:val="0"/>
                <w:color w:val="000000"/>
                <w:sz w:val="20"/>
              </w:rPr>
              <w:t>13/24（54.2%）</w:t>
            </w:r>
          </w:p>
        </w:tc>
        <w:tc>
          <w:tcPr>
            <w:tcW w:type="dxa" w:w="3650"/>
            <w:vAlign w:val="center"/>
          </w:tcPr>
          <w:p>
            <w:pPr>
              <w:keepNext w:val="0"/>
              <w:widowControl/>
              <w:spacing w:line="269" w:lineRule="auto" w:after="0"/>
              <w:ind w:firstLine="0"/>
              <w:jc w:val="center"/>
            </w:pPr>
            <w:r>
              <w:rPr>
                <w:rFonts w:ascii="Times New Roman" w:hAnsi="Times New Roman" w:eastAsia="宋体"/>
                <w:b w:val="0"/>
                <w:strike w:val="0"/>
                <w:color w:val="000000"/>
                <w:sz w:val="20"/>
              </w:rPr>
              <w:t>22/24（91.7%）</w:t>
            </w:r>
          </w:p>
        </w:tc>
      </w:tr>
    </w:tbl>
    <w:p>
      <w:pPr>
        <w:widowControl/>
        <w:spacing w:before="120"/>
        <w:jc w:val="both"/>
      </w:pPr>
      <w:r>
        <w:rPr>
          <w:rFonts w:ascii="Times New Roman" w:hAnsi="Times New Roman" w:eastAsia="宋体"/>
          <w:b w:val="0"/>
          <w:strike w:val="0"/>
          <w:color w:val="000000"/>
          <w:sz w:val="22"/>
        </w:rPr>
        <w:t>Terra 的 18 个初始成功全部保留，六个失败起点在 GS 和 GF 下各恢复四个。两分支共同成功 21 个，共同失败一个，另外各有一个仅该分支成功。补充运行最大完成预算为 4,096 词元；本批保存响应均在上限内完成。Luna 与 Terra 的输出预算不同，因此该补充按实际配置描述初始生成及修复结果。</w:t>
      </w:r>
    </w:p>
    <w:p>
      <w:pPr>
        <w:widowControl/>
        <w:jc w:val="both"/>
      </w:pPr>
      <w:r>
        <w:rPr>
          <w:rFonts w:ascii="Times New Roman" w:hAnsi="Times New Roman" w:eastAsia="宋体"/>
          <w:b w:val="0"/>
          <w:strike w:val="0"/>
          <w:color w:val="000000"/>
          <w:sz w:val="22"/>
        </w:rPr>
        <w:t>Terra 保存的 60 份响应共用 338,438 词元，其中输入 301,834、输出 36,604。</w:t>
      </w:r>
    </w:p>
    <w:p>
      <w:pPr>
        <w:pStyle w:val="Heading2"/>
        <w:widowControl/>
      </w:pPr>
      <w:r>
        <w:rPr>
          <w:rFonts w:ascii="Times New Roman" w:hAnsi="Times New Roman" w:eastAsia="宋体"/>
          <w:b w:val="0"/>
          <w:strike w:val="0"/>
          <w:color w:val="000000"/>
          <w:sz w:val="23"/>
        </w:rPr>
        <w:t>C.4 贯穿案例 两条服务路径的关系修复</w:t>
      </w:r>
    </w:p>
    <w:p>
      <w:pPr>
        <w:widowControl/>
        <w:jc w:val="both"/>
      </w:pPr>
      <w:r>
        <w:rPr>
          <w:rFonts w:ascii="Times New Roman" w:hAnsi="Times New Roman" w:eastAsia="宋体"/>
          <w:b w:val="0"/>
          <w:strike w:val="0"/>
          <w:color w:val="000000"/>
          <w:sz w:val="22"/>
        </w:rPr>
        <w:t>BAL-1-01 要求在固定的六区段链式布局上配置两条启用路径 r1、r2，保持物理连接、计划道岔位置和指定监测：n1 覆盖 w1、t1，n2 覆盖 w2、t2，n3 覆盖 t3；每条路径至少要求两个不同的传感器。结构化任务规格固定对象及连接，程序据此组装生成约束，将传感器需求限定在 n1–n6 等已声明的可选对象内。种子 155921 的初始模型取 r1.requires=[n1,n3]、r2.requires=[n2,n3]，经装配形成以下 XMI。</w:t>
      </w:r>
    </w:p>
    <w:p>
      <w:pPr>
        <w:widowControl/>
        <w:jc w:val="both"/>
      </w:pPr>
      <w:r>
        <w:rPr>
          <w:rFonts w:ascii="Times New Roman" w:hAnsi="Times New Roman" w:eastAsia="宋体"/>
          <w:b w:val="0"/>
          <w:strike w:val="0"/>
          <w:color w:val="000000"/>
          <w:sz w:val="22"/>
        </w:rPr>
        <w:t>片段保留原始引用，仅调整换行并省略外围及其他节点。XMI 标识须按身份映射读取：n12、n13 分别对应路径 r1、r2；n4、n5、n6 对应业务传感器 n1、n2、n3；n15、n16 对应 t2、t3；n1、n2、n3 对应信号机 m_boundary、m_in、m_out。因此，原始 requires="n4 n6" 表示业务层的 [n1,n3]。</w:t>
      </w:r>
    </w:p>
    <w:p>
      <w:pPr>
        <w:keepNext/>
        <w:widowControl/>
        <w:ind w:firstLine="0"/>
        <w:jc w:val="left"/>
      </w:pPr>
      <w:r>
        <w:rPr>
          <w:rFonts w:ascii="Times New Roman" w:hAnsi="Times New Roman" w:eastAsia="宋体"/>
          <w:b/>
          <w:strike w:val="0"/>
          <w:color w:val="000000"/>
          <w:sz w:val="20"/>
        </w:rPr>
        <w:t>片段 C1 初始 XMI 及修复后的路径字段</w:t>
      </w:r>
    </w:p>
    <w:p>
      <w:pPr>
        <w:keepNext/>
        <w:widowControl/>
        <w:spacing w:line="252" w:lineRule="auto" w:after="0"/>
        <w:ind w:firstLine="0"/>
        <w:jc w:val="left"/>
      </w:pPr>
      <w:r>
        <w:rPr>
          <w:rFonts w:ascii="Consolas" w:hAnsi="Consolas" w:eastAsia="宋体"/>
          <w:b w:val="0"/>
          <w:strike w:val="0"/>
          <w:color w:val="000000"/>
          <w:sz w:val="19"/>
        </w:rPr>
        <w:t>&lt;!-- G0：传感器、相邻区段及两条路径的局部摘录 --&gt;</w:t>
      </w:r>
    </w:p>
    <w:p>
      <w:pPr>
        <w:keepNext/>
        <w:widowControl/>
        <w:spacing w:line="252" w:lineRule="auto" w:after="0"/>
        <w:ind w:firstLine="0"/>
        <w:jc w:val="left"/>
      </w:pPr>
      <w:r>
        <w:rPr>
          <w:rFonts w:ascii="Consolas" w:hAnsi="Consolas" w:eastAsia="宋体"/>
          <w:b w:val="0"/>
          <w:strike w:val="0"/>
          <w:color w:val="000000"/>
          <w:sz w:val="19"/>
        </w:rPr>
        <w:t>&lt;sensors xmi:id="n5" id="5" monitors="n15 n21" /&gt;</w:t>
      </w:r>
    </w:p>
    <w:p>
      <w:pPr>
        <w:keepNext/>
        <w:widowControl/>
        <w:spacing w:line="252" w:lineRule="auto" w:after="0"/>
        <w:ind w:firstLine="0"/>
        <w:jc w:val="left"/>
      </w:pPr>
      <w:r>
        <w:rPr>
          <w:rFonts w:ascii="Consolas" w:hAnsi="Consolas" w:eastAsia="宋体"/>
          <w:b w:val="0"/>
          <w:strike w:val="0"/>
          <w:color w:val="000000"/>
          <w:sz w:val="19"/>
        </w:rPr>
        <w:t>&lt;sensors xmi:id="n6" id="6" monitors="n16" /&gt;</w:t>
      </w:r>
    </w:p>
    <w:p>
      <w:pPr>
        <w:keepNext/>
        <w:widowControl/>
        <w:spacing w:line="252" w:lineRule="auto" w:after="0"/>
        <w:ind w:firstLine="0"/>
        <w:jc w:val="left"/>
      </w:pPr>
      <w:r>
        <w:rPr>
          <w:rFonts w:ascii="Consolas" w:hAnsi="Consolas" w:eastAsia="宋体"/>
          <w:b w:val="0"/>
          <w:strike w:val="0"/>
          <w:color w:val="000000"/>
          <w:sz w:val="19"/>
        </w:rPr>
        <w:t>&lt;elements xmi:id="n15" id="15" xsi:type="railway:Segment"</w:t>
      </w:r>
    </w:p>
    <w:p>
      <w:pPr>
        <w:keepNext/>
        <w:widowControl/>
        <w:spacing w:line="252" w:lineRule="auto" w:after="0"/>
        <w:ind w:firstLine="0"/>
        <w:jc w:val="left"/>
      </w:pPr>
      <w:r>
        <w:rPr>
          <w:rFonts w:ascii="Consolas" w:hAnsi="Consolas" w:eastAsia="宋体"/>
          <w:b w:val="0"/>
          <w:strike w:val="0"/>
          <w:color w:val="000000"/>
          <w:sz w:val="19"/>
        </w:rPr>
        <w:t xml:space="preserve">  connectsTo="n16" monitoredBy="n5" length="40"&gt;</w:t>
      </w:r>
    </w:p>
    <w:p>
      <w:pPr>
        <w:keepNext/>
        <w:widowControl/>
        <w:spacing w:line="252" w:lineRule="auto" w:after="0"/>
        <w:ind w:firstLine="0"/>
        <w:jc w:val="left"/>
      </w:pPr>
      <w:r>
        <w:rPr>
          <w:rFonts w:ascii="Consolas" w:hAnsi="Consolas" w:eastAsia="宋体"/>
          <w:b w:val="0"/>
          <w:strike w:val="0"/>
          <w:color w:val="000000"/>
          <w:sz w:val="19"/>
        </w:rPr>
        <w:t xml:space="preserve">  &lt;semaphores xmi:id="n1" id="1" signal="GO" /&gt;</w:t>
      </w:r>
    </w:p>
    <w:p>
      <w:pPr>
        <w:keepNext/>
        <w:widowControl/>
        <w:spacing w:line="252" w:lineRule="auto" w:after="0"/>
        <w:ind w:firstLine="0"/>
        <w:jc w:val="left"/>
      </w:pPr>
      <w:r>
        <w:rPr>
          <w:rFonts w:ascii="Consolas" w:hAnsi="Consolas" w:eastAsia="宋体"/>
          <w:b w:val="0"/>
          <w:strike w:val="0"/>
          <w:color w:val="000000"/>
          <w:sz w:val="19"/>
        </w:rPr>
        <w:t>&lt;/elements&gt;</w:t>
      </w:r>
    </w:p>
    <w:p>
      <w:pPr>
        <w:keepNext/>
        <w:widowControl/>
        <w:spacing w:line="252" w:lineRule="auto" w:after="0"/>
        <w:ind w:firstLine="0"/>
        <w:jc w:val="left"/>
      </w:pPr>
      <w:r>
        <w:rPr>
          <w:rFonts w:ascii="Consolas" w:hAnsi="Consolas" w:eastAsia="宋体"/>
          <w:b w:val="0"/>
          <w:strike w:val="0"/>
          <w:color w:val="000000"/>
          <w:sz w:val="19"/>
        </w:rPr>
        <w:t>&lt;routes xmi:id="n12" id="12" active="true" entry="n2" exit="n1" requires="n4 n6"&gt;</w:t>
      </w:r>
    </w:p>
    <w:p>
      <w:pPr>
        <w:keepNext/>
        <w:widowControl/>
        <w:spacing w:line="252" w:lineRule="auto" w:after="0"/>
        <w:ind w:firstLine="0"/>
        <w:jc w:val="left"/>
      </w:pPr>
      <w:r>
        <w:rPr>
          <w:rFonts w:ascii="Consolas" w:hAnsi="Consolas" w:eastAsia="宋体"/>
          <w:b w:val="0"/>
          <w:strike w:val="0"/>
          <w:color w:val="000000"/>
          <w:sz w:val="19"/>
        </w:rPr>
        <w:t xml:space="preserve">  &lt;follows xmi:id="n10" id="10" position="DIVERGING" target="n20" route="n12" /&gt;</w:t>
      </w:r>
    </w:p>
    <w:p>
      <w:pPr>
        <w:keepNext/>
        <w:widowControl/>
        <w:spacing w:line="252" w:lineRule="auto" w:after="0"/>
        <w:ind w:firstLine="0"/>
        <w:jc w:val="left"/>
      </w:pPr>
      <w:r>
        <w:rPr>
          <w:rFonts w:ascii="Consolas" w:hAnsi="Consolas" w:eastAsia="宋体"/>
          <w:b w:val="0"/>
          <w:strike w:val="0"/>
          <w:color w:val="000000"/>
          <w:sz w:val="19"/>
        </w:rPr>
        <w:t>&lt;/routes&gt;</w:t>
      </w:r>
    </w:p>
    <w:p>
      <w:pPr>
        <w:keepNext/>
        <w:widowControl/>
        <w:spacing w:line="252" w:lineRule="auto" w:after="0"/>
        <w:ind w:firstLine="0"/>
        <w:jc w:val="left"/>
      </w:pPr>
      <w:r>
        <w:rPr>
          <w:rFonts w:ascii="Consolas" w:hAnsi="Consolas" w:eastAsia="宋体"/>
          <w:b w:val="0"/>
          <w:strike w:val="0"/>
          <w:color w:val="000000"/>
          <w:sz w:val="19"/>
        </w:rPr>
        <w:t>&lt;routes xmi:id="n13" id="13" active="true" entry="n1" exit="n3" requires="n5 n6"&gt;</w:t>
      </w:r>
    </w:p>
    <w:p>
      <w:pPr>
        <w:keepNext/>
        <w:widowControl/>
        <w:spacing w:line="252" w:lineRule="auto" w:after="0"/>
        <w:ind w:firstLine="0"/>
        <w:jc w:val="left"/>
      </w:pPr>
      <w:r>
        <w:rPr>
          <w:rFonts w:ascii="Consolas" w:hAnsi="Consolas" w:eastAsia="宋体"/>
          <w:b w:val="0"/>
          <w:strike w:val="0"/>
          <w:color w:val="000000"/>
          <w:sz w:val="19"/>
        </w:rPr>
        <w:t xml:space="preserve">  &lt;follows xmi:id="n11" id="11" position="DIVERGING" target="n21" route="n13" /&gt;</w:t>
      </w:r>
    </w:p>
    <w:p>
      <w:pPr>
        <w:keepNext/>
        <w:widowControl/>
        <w:spacing w:line="252" w:lineRule="auto" w:after="0"/>
        <w:ind w:firstLine="0"/>
        <w:jc w:val="left"/>
      </w:pPr>
      <w:r>
        <w:rPr>
          <w:rFonts w:ascii="Consolas" w:hAnsi="Consolas" w:eastAsia="宋体"/>
          <w:b w:val="0"/>
          <w:strike w:val="0"/>
          <w:color w:val="000000"/>
          <w:sz w:val="19"/>
        </w:rPr>
        <w:t>&lt;/routes&gt;</w:t>
      </w:r>
    </w:p>
    <w:p>
      <w:pPr>
        <w:keepNext/>
        <w:widowControl/>
        <w:spacing w:line="252" w:lineRule="auto" w:after="0"/>
        <w:ind w:firstLine="0"/>
        <w:jc w:val="left"/>
      </w:pPr>
      <w:r>
        <w:rPr>
          <w:rFonts w:ascii="Consolas" w:hAnsi="Consolas" w:eastAsia="宋体"/>
          <w:b w:val="0"/>
          <w:strike w:val="0"/>
          <w:color w:val="000000"/>
          <w:sz w:val="19"/>
        </w:rPr>
        <w:t>&lt;!-- GF：仅 r1.requires 改变，r2 及上述监测和连接保持不变 --&gt;</w:t>
      </w:r>
    </w:p>
    <w:p>
      <w:pPr>
        <w:keepNext/>
        <w:widowControl/>
        <w:spacing w:line="252" w:lineRule="auto" w:after="0"/>
        <w:ind w:firstLine="0"/>
        <w:jc w:val="left"/>
      </w:pPr>
      <w:r>
        <w:rPr>
          <w:rFonts w:ascii="Consolas" w:hAnsi="Consolas" w:eastAsia="宋体"/>
          <w:b w:val="0"/>
          <w:strike w:val="0"/>
          <w:color w:val="000000"/>
          <w:sz w:val="19"/>
        </w:rPr>
        <w:t>&lt;routes xmi:id="n12" id="12" active="true" entry="n2" exit="n1" requires="n4 n5"&gt;</w:t>
      </w:r>
    </w:p>
    <w:p>
      <w:pPr>
        <w:keepNext/>
        <w:widowControl/>
        <w:spacing w:line="252" w:lineRule="auto" w:after="0"/>
        <w:ind w:firstLine="0"/>
        <w:jc w:val="left"/>
      </w:pPr>
      <w:r>
        <w:rPr>
          <w:rFonts w:ascii="Consolas" w:hAnsi="Consolas" w:eastAsia="宋体"/>
          <w:b w:val="0"/>
          <w:strike w:val="0"/>
          <w:color w:val="000000"/>
          <w:sz w:val="19"/>
        </w:rPr>
        <w:t xml:space="preserve">  &lt;follows xmi:id="n10" id="10" position="DIVERGING" target="n20" route="n12" /&gt;</w:t>
      </w:r>
    </w:p>
    <w:p>
      <w:pPr>
        <w:keepNext w:val="0"/>
        <w:widowControl/>
        <w:spacing w:line="252" w:lineRule="auto" w:after="0"/>
        <w:ind w:firstLine="0"/>
        <w:jc w:val="left"/>
      </w:pPr>
      <w:r>
        <w:rPr>
          <w:rFonts w:ascii="Consolas" w:hAnsi="Consolas" w:eastAsia="宋体"/>
          <w:b w:val="0"/>
          <w:strike w:val="0"/>
          <w:color w:val="000000"/>
          <w:sz w:val="19"/>
        </w:rPr>
        <w:t>&lt;/routes&gt;</w:t>
      </w:r>
    </w:p>
    <w:p>
      <w:pPr>
        <w:widowControl/>
        <w:jc w:val="both"/>
      </w:pPr>
      <w:r>
        <w:rPr>
          <w:rFonts w:ascii="Times New Roman" w:hAnsi="Times New Roman" w:eastAsia="宋体"/>
          <w:b w:val="0"/>
          <w:strike w:val="0"/>
          <w:color w:val="000000"/>
          <w:sz w:val="22"/>
        </w:rPr>
        <w:t>L2 成功加载初始 XMI，EMF 诊断无结构错误，其余五条原生查询均通过；SemaphoreNeighbor 返回下列违反，参数按信号机、两条路径、两个传感器和两个轨道元素排列。</w:t>
      </w:r>
    </w:p>
    <w:p>
      <w:pPr>
        <w:keepNext/>
        <w:widowControl/>
        <w:ind w:firstLine="0"/>
        <w:jc w:val="left"/>
      </w:pPr>
      <w:r>
        <w:rPr>
          <w:rFonts w:ascii="Times New Roman" w:hAnsi="Times New Roman" w:eastAsia="宋体"/>
          <w:b/>
          <w:strike w:val="0"/>
          <w:color w:val="000000"/>
          <w:sz w:val="20"/>
        </w:rPr>
        <w:t>片段 C2 初始模型的关系检查诊断</w:t>
      </w:r>
    </w:p>
    <w:p>
      <w:pPr>
        <w:keepNext/>
        <w:widowControl/>
        <w:spacing w:line="252" w:lineRule="auto" w:after="0"/>
        <w:ind w:firstLine="0"/>
        <w:jc w:val="left"/>
      </w:pPr>
      <w:r>
        <w:rPr>
          <w:rFonts w:ascii="Consolas" w:hAnsi="Consolas" w:eastAsia="宋体"/>
          <w:b w:val="0"/>
          <w:strike w:val="0"/>
          <w:color w:val="000000"/>
          <w:sz w:val="19"/>
        </w:rPr>
        <w:t>SemaphoreNeighbor: FAIL</w:t>
      </w:r>
    </w:p>
    <w:p>
      <w:pPr>
        <w:keepNext w:val="0"/>
        <w:widowControl/>
        <w:spacing w:line="252" w:lineRule="auto" w:after="0"/>
        <w:ind w:firstLine="0"/>
        <w:jc w:val="left"/>
      </w:pPr>
      <w:r>
        <w:rPr>
          <w:rFonts w:ascii="Consolas" w:hAnsi="Consolas" w:eastAsia="宋体"/>
          <w:b w:val="0"/>
          <w:strike w:val="0"/>
          <w:color w:val="000000"/>
          <w:sz w:val="19"/>
        </w:rPr>
        <w:t>tuple = [m_out, r2, r1, n2, n3, t2, t3]</w:t>
      </w:r>
    </w:p>
    <w:p>
      <w:pPr>
        <w:widowControl/>
        <w:jc w:val="both"/>
      </w:pPr>
      <w:r>
        <w:rPr>
          <w:rFonts w:ascii="Times New Roman" w:hAnsi="Times New Roman" w:eastAsia="宋体"/>
          <w:b w:val="0"/>
          <w:strike w:val="0"/>
          <w:color w:val="000000"/>
          <w:sz w:val="22"/>
        </w:rPr>
        <w:t>这里 t2→t3 分别由 r2 所需的 n2 和 r1 所需的 n3 监测，触发 r2 出口与 r1 入口应为同一信号机的要求；实际二者为 m_out 与 m_in。GF 依据诊断及局部候选，仅将 r1.requires 改为 [n1,n2]，如片段后半所示。复验记录中六条查询均为空匹配，两条路径仍启用，七项任务义务及受保护内容检查全部通过；提案通过修复接纳，一轮后达到严格成功。L1 限定可选引用，L2 检查跨对象关系，修复接纳同时保持服务任务。</w:t>
      </w:r>
    </w:p>
    <w:p>
      <w:pPr>
        <w:pStyle w:val="Heading1"/>
        <w:widowControl/>
      </w:pPr>
      <w:r>
        <w:rPr>
          <w:rFonts w:ascii="Times New Roman" w:hAnsi="Times New Roman" w:eastAsia="宋体"/>
          <w:b w:val="0"/>
          <w:strike w:val="0"/>
          <w:color w:val="000000"/>
          <w:sz w:val="26"/>
        </w:rPr>
        <w:t>附录 D 国际私法决策</w:t>
      </w:r>
    </w:p>
    <w:p>
      <w:pPr>
        <w:pStyle w:val="Heading2"/>
        <w:widowControl/>
      </w:pPr>
      <w:r>
        <w:rPr>
          <w:rFonts w:ascii="Times New Roman" w:hAnsi="Times New Roman" w:eastAsia="宋体"/>
          <w:b w:val="0"/>
          <w:strike w:val="0"/>
          <w:color w:val="000000"/>
          <w:sz w:val="23"/>
        </w:rPr>
        <w:t>D.1 案例与比较条件</w:t>
      </w:r>
    </w:p>
    <w:p>
      <w:pPr>
        <w:widowControl/>
        <w:jc w:val="both"/>
      </w:pPr>
      <w:r>
        <w:rPr>
          <w:rFonts w:ascii="Times New Roman" w:hAnsi="Times New Roman" w:eastAsia="宋体"/>
          <w:b w:val="0"/>
          <w:strike w:val="0"/>
          <w:color w:val="000000"/>
          <w:sz w:val="22"/>
        </w:rPr>
        <w:t>PIL 实验采用由两名国际私法研究生构建的 60 个英文合成管辖情景。两人分别复核初轮参考标签，初轮未查看对方判断，再共同讨论分歧。案例依据 Brussels I bis 的 2015 年 2 月 26 日合并文本</w:t>
      </w:r>
      <w:hyperlink r:id="rId44" w:tooltip="EU1215_2012">
        <w:r>
          <w:rPr>
            <w:rFonts w:ascii="Times New Roman" w:hAnsi="Times New Roman" w:eastAsia="宋体"/>
            <w:color w:val="FF0000"/>
            <w:sz w:val="18"/>
            <w:u w:val="none"/>
            <w:vertAlign w:val="superscript"/>
          </w:rPr>
          <w:t>[32]</w:t>
        </w:r>
      </w:hyperlink>
      <w:r>
        <w:rPr>
          <w:rFonts w:ascii="Times New Roman" w:hAnsi="Times New Roman" w:eastAsia="宋体"/>
          <w:b w:val="0"/>
          <w:strike w:val="0"/>
          <w:color w:val="000000"/>
          <w:sz w:val="22"/>
        </w:rPr>
        <w:t>及欧盟商标条例的 2025 年 12 月 1 日合并文本</w:t>
      </w:r>
      <w:hyperlink r:id="rId45" w:tooltip="EU2017_1001">
        <w:r>
          <w:rPr>
            <w:rFonts w:ascii="Times New Roman" w:hAnsi="Times New Roman" w:eastAsia="宋体"/>
            <w:color w:val="FF0000"/>
            <w:sz w:val="18"/>
            <w:u w:val="none"/>
            <w:vertAlign w:val="superscript"/>
          </w:rPr>
          <w:t>[33]</w:t>
        </w:r>
      </w:hyperlink>
      <w:r>
        <w:rPr>
          <w:rFonts w:ascii="Times New Roman" w:hAnsi="Times New Roman" w:eastAsia="宋体"/>
          <w:b w:val="0"/>
          <w:strike w:val="0"/>
          <w:color w:val="000000"/>
          <w:sz w:val="22"/>
        </w:rPr>
        <w:t>。依据条文含义整理决策字段、管辖类型和跨字段检查，并将 58 条条款转述组织为支持库。条文以法律文书和条款的联合身份引用，固定词汇检索最多返回 12 条。</w:t>
      </w:r>
    </w:p>
    <w:p>
      <w:pPr>
        <w:keepNext/>
        <w:widowControl/>
        <w:ind w:firstLine="0"/>
        <w:jc w:val="left"/>
      </w:pPr>
      <w:r>
        <w:rPr>
          <w:rFonts w:ascii="Times New Roman" w:hAnsi="Times New Roman" w:eastAsia="宋体"/>
          <w:b/>
          <w:strike w:val="0"/>
          <w:color w:val="000000"/>
          <w:sz w:val="20"/>
        </w:rPr>
        <w:t>表 D1 生成条件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406"/>
        <w:gridCol w:w="2406"/>
        <w:gridCol w:w="2406"/>
        <w:gridCol w:w="2646"/>
      </w:tblGrid>
      <w:tr>
        <w:trPr>
          <w:cantSplit/>
          <w:tblHeader/>
        </w:trPr>
        <w:tc>
          <w:tcPr>
            <w:tcW w:type="dxa" w:w="240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条件</w:t>
            </w:r>
          </w:p>
        </w:tc>
        <w:tc>
          <w:tcPr>
            <w:tcW w:type="dxa" w:w="240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输入依据</w:t>
            </w:r>
          </w:p>
        </w:tc>
        <w:tc>
          <w:tcPr>
            <w:tcW w:type="dxa" w:w="240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结构执行</w:t>
            </w:r>
          </w:p>
        </w:tc>
        <w:tc>
          <w:tcPr>
            <w:tcW w:type="dxa" w:w="2646"/>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生成后处理</w:t>
            </w:r>
          </w:p>
        </w:tc>
      </w:tr>
      <w:tr>
        <w:trPr>
          <w:cantSplit/>
        </w:trPr>
        <w:tc>
          <w:tcPr>
            <w:tcW w:type="dxa" w:w="2406"/>
            <w:vAlign w:val="center"/>
          </w:tcPr>
          <w:p>
            <w:pPr>
              <w:keepNext/>
              <w:widowControl/>
              <w:spacing w:line="269" w:lineRule="auto" w:after="0"/>
              <w:ind w:firstLine="0"/>
              <w:jc w:val="left"/>
            </w:pPr>
            <w:r>
              <w:rPr>
                <w:rFonts w:ascii="Times New Roman" w:hAnsi="Times New Roman" w:eastAsia="宋体"/>
                <w:b w:val="0"/>
                <w:strike w:val="0"/>
                <w:color w:val="000000"/>
                <w:sz w:val="20"/>
              </w:rPr>
              <w:t>P0 基础提示</w:t>
            </w:r>
          </w:p>
        </w:tc>
        <w:tc>
          <w:tcPr>
            <w:tcW w:type="dxa" w:w="2406"/>
            <w:vAlign w:val="center"/>
          </w:tcPr>
          <w:p>
            <w:pPr>
              <w:keepNext/>
              <w:widowControl/>
              <w:spacing w:line="269" w:lineRule="auto" w:after="0"/>
              <w:ind w:firstLine="0"/>
              <w:jc w:val="center"/>
            </w:pPr>
            <w:r>
              <w:rPr>
                <w:rFonts w:ascii="Times New Roman" w:hAnsi="Times New Roman" w:eastAsia="宋体"/>
                <w:b w:val="0"/>
                <w:strike w:val="0"/>
                <w:color w:val="000000"/>
                <w:sz w:val="20"/>
              </w:rPr>
              <w:t>案情及共同输出要求</w:t>
            </w:r>
          </w:p>
        </w:tc>
        <w:tc>
          <w:tcPr>
            <w:tcW w:type="dxa" w:w="2406"/>
            <w:vAlign w:val="center"/>
          </w:tcPr>
          <w:p>
            <w:pPr>
              <w:keepNext/>
              <w:widowControl/>
              <w:spacing w:line="269" w:lineRule="auto" w:after="0"/>
              <w:ind w:firstLine="0"/>
              <w:jc w:val="center"/>
            </w:pPr>
            <w:r>
              <w:rPr>
                <w:rFonts w:ascii="Times New Roman" w:hAnsi="Times New Roman" w:eastAsia="宋体"/>
                <w:b w:val="0"/>
                <w:strike w:val="0"/>
                <w:color w:val="000000"/>
                <w:sz w:val="20"/>
              </w:rPr>
              <w:t>提示要求</w:t>
            </w:r>
          </w:p>
        </w:tc>
        <w:tc>
          <w:tcPr>
            <w:tcW w:type="dxa" w:w="2646"/>
            <w:vAlign w:val="center"/>
          </w:tcPr>
          <w:p>
            <w:pPr>
              <w:keepNext/>
              <w:widowControl/>
              <w:spacing w:line="269" w:lineRule="auto" w:after="0"/>
              <w:ind w:firstLine="0"/>
              <w:jc w:val="center"/>
            </w:pPr>
            <w:r>
              <w:rPr>
                <w:rFonts w:ascii="Times New Roman" w:hAnsi="Times New Roman" w:eastAsia="宋体"/>
                <w:b w:val="0"/>
                <w:strike w:val="0"/>
                <w:color w:val="000000"/>
                <w:sz w:val="20"/>
              </w:rPr>
              <w:t>解析并检查结构</w:t>
            </w:r>
          </w:p>
        </w:tc>
      </w:tr>
      <w:tr>
        <w:trPr>
          <w:cantSplit/>
        </w:trPr>
        <w:tc>
          <w:tcPr>
            <w:tcW w:type="dxa" w:w="2406"/>
            <w:vAlign w:val="center"/>
          </w:tcPr>
          <w:p>
            <w:pPr>
              <w:keepNext/>
              <w:widowControl/>
              <w:spacing w:line="269" w:lineRule="auto" w:after="0"/>
              <w:ind w:firstLine="0"/>
              <w:jc w:val="left"/>
            </w:pPr>
            <w:r>
              <w:rPr>
                <w:rFonts w:ascii="Times New Roman" w:hAnsi="Times New Roman" w:eastAsia="宋体"/>
                <w:b w:val="0"/>
                <w:strike w:val="0"/>
                <w:color w:val="000000"/>
                <w:sz w:val="20"/>
              </w:rPr>
              <w:t>P1 检索增强</w:t>
            </w:r>
          </w:p>
        </w:tc>
        <w:tc>
          <w:tcPr>
            <w:tcW w:type="dxa" w:w="2406"/>
            <w:vAlign w:val="center"/>
          </w:tcPr>
          <w:p>
            <w:pPr>
              <w:keepNext/>
              <w:widowControl/>
              <w:spacing w:line="269" w:lineRule="auto" w:after="0"/>
              <w:ind w:firstLine="0"/>
              <w:jc w:val="center"/>
            </w:pPr>
            <w:r>
              <w:rPr>
                <w:rFonts w:ascii="Times New Roman" w:hAnsi="Times New Roman" w:eastAsia="宋体"/>
                <w:b w:val="0"/>
                <w:strike w:val="0"/>
                <w:color w:val="000000"/>
                <w:sz w:val="20"/>
              </w:rPr>
              <w:t>增加检索法律依据</w:t>
            </w:r>
          </w:p>
        </w:tc>
        <w:tc>
          <w:tcPr>
            <w:tcW w:type="dxa" w:w="2406"/>
            <w:vAlign w:val="center"/>
          </w:tcPr>
          <w:p>
            <w:pPr>
              <w:keepNext/>
              <w:widowControl/>
              <w:spacing w:line="269" w:lineRule="auto" w:after="0"/>
              <w:ind w:firstLine="0"/>
              <w:jc w:val="center"/>
            </w:pPr>
            <w:r>
              <w:rPr>
                <w:rFonts w:ascii="Times New Roman" w:hAnsi="Times New Roman" w:eastAsia="宋体"/>
                <w:b w:val="0"/>
                <w:strike w:val="0"/>
                <w:color w:val="000000"/>
                <w:sz w:val="20"/>
              </w:rPr>
              <w:t>提示要求</w:t>
            </w:r>
          </w:p>
        </w:tc>
        <w:tc>
          <w:tcPr>
            <w:tcW w:type="dxa" w:w="2646"/>
            <w:vAlign w:val="center"/>
          </w:tcPr>
          <w:p>
            <w:pPr>
              <w:keepNext/>
              <w:widowControl/>
              <w:spacing w:line="269" w:lineRule="auto" w:after="0"/>
              <w:ind w:firstLine="0"/>
              <w:jc w:val="center"/>
            </w:pPr>
            <w:r>
              <w:rPr>
                <w:rFonts w:ascii="Times New Roman" w:hAnsi="Times New Roman" w:eastAsia="宋体"/>
                <w:b w:val="0"/>
                <w:strike w:val="0"/>
                <w:color w:val="000000"/>
                <w:sz w:val="20"/>
              </w:rPr>
              <w:t>解析并检查结构</w:t>
            </w:r>
          </w:p>
        </w:tc>
      </w:tr>
      <w:tr>
        <w:trPr>
          <w:cantSplit/>
        </w:trPr>
        <w:tc>
          <w:tcPr>
            <w:tcW w:type="dxa" w:w="2406"/>
            <w:vAlign w:val="center"/>
          </w:tcPr>
          <w:p>
            <w:pPr>
              <w:keepNext/>
              <w:widowControl/>
              <w:spacing w:line="269" w:lineRule="auto" w:after="0"/>
              <w:ind w:firstLine="0"/>
              <w:jc w:val="left"/>
            </w:pPr>
            <w:r>
              <w:rPr>
                <w:rFonts w:ascii="Times New Roman" w:hAnsi="Times New Roman" w:eastAsia="宋体"/>
                <w:b w:val="0"/>
                <w:strike w:val="0"/>
                <w:color w:val="000000"/>
                <w:sz w:val="20"/>
              </w:rPr>
              <w:t>P2 结构约束</w:t>
            </w:r>
          </w:p>
        </w:tc>
        <w:tc>
          <w:tcPr>
            <w:tcW w:type="dxa" w:w="2406"/>
            <w:vAlign w:val="center"/>
          </w:tcPr>
          <w:p>
            <w:pPr>
              <w:keepNext/>
              <w:widowControl/>
              <w:spacing w:line="269" w:lineRule="auto" w:after="0"/>
              <w:ind w:firstLine="0"/>
              <w:jc w:val="center"/>
            </w:pPr>
            <w:r>
              <w:rPr>
                <w:rFonts w:ascii="Times New Roman" w:hAnsi="Times New Roman" w:eastAsia="宋体"/>
                <w:b w:val="0"/>
                <w:strike w:val="0"/>
                <w:color w:val="000000"/>
                <w:sz w:val="20"/>
              </w:rPr>
              <w:t>与 P1 相同</w:t>
            </w:r>
          </w:p>
        </w:tc>
        <w:tc>
          <w:tcPr>
            <w:tcW w:type="dxa" w:w="2406"/>
            <w:vAlign w:val="center"/>
          </w:tcPr>
          <w:p>
            <w:pPr>
              <w:keepNext/>
              <w:widowControl/>
              <w:spacing w:line="269" w:lineRule="auto" w:after="0"/>
              <w:ind w:firstLine="0"/>
              <w:jc w:val="center"/>
            </w:pPr>
            <w:r>
              <w:rPr>
                <w:rFonts w:ascii="Times New Roman" w:hAnsi="Times New Roman" w:eastAsia="宋体"/>
                <w:b w:val="0"/>
                <w:strike w:val="0"/>
                <w:color w:val="000000"/>
                <w:sz w:val="20"/>
              </w:rPr>
              <w:t>严格 schema</w:t>
            </w:r>
          </w:p>
        </w:tc>
        <w:tc>
          <w:tcPr>
            <w:tcW w:type="dxa" w:w="2646"/>
            <w:vAlign w:val="center"/>
          </w:tcPr>
          <w:p>
            <w:pPr>
              <w:keepNext/>
              <w:widowControl/>
              <w:spacing w:line="269" w:lineRule="auto" w:after="0"/>
              <w:ind w:firstLine="0"/>
              <w:jc w:val="center"/>
            </w:pPr>
            <w:r>
              <w:rPr>
                <w:rFonts w:ascii="Times New Roman" w:hAnsi="Times New Roman" w:eastAsia="宋体"/>
                <w:b w:val="0"/>
                <w:strike w:val="0"/>
                <w:color w:val="000000"/>
                <w:sz w:val="20"/>
              </w:rPr>
              <w:t>检查结构后发布</w:t>
            </w:r>
          </w:p>
        </w:tc>
      </w:tr>
      <w:tr>
        <w:trPr>
          <w:cantSplit/>
        </w:trPr>
        <w:tc>
          <w:tcPr>
            <w:tcW w:type="dxa" w:w="2406"/>
            <w:vAlign w:val="center"/>
          </w:tcPr>
          <w:p>
            <w:pPr>
              <w:keepNext w:val="0"/>
              <w:widowControl/>
              <w:spacing w:line="269" w:lineRule="auto" w:after="0"/>
              <w:ind w:firstLine="0"/>
              <w:jc w:val="left"/>
            </w:pPr>
            <w:r>
              <w:rPr>
                <w:rFonts w:ascii="Times New Roman" w:hAnsi="Times New Roman" w:eastAsia="宋体"/>
                <w:b w:val="0"/>
                <w:strike w:val="0"/>
                <w:color w:val="000000"/>
                <w:sz w:val="20"/>
              </w:rPr>
              <w:t>P3 完整检查</w:t>
            </w:r>
          </w:p>
        </w:tc>
        <w:tc>
          <w:tcPr>
            <w:tcW w:type="dxa" w:w="2406"/>
            <w:vAlign w:val="center"/>
          </w:tcPr>
          <w:p>
            <w:pPr>
              <w:keepNext w:val="0"/>
              <w:widowControl/>
              <w:spacing w:line="269" w:lineRule="auto" w:after="0"/>
              <w:ind w:firstLine="0"/>
              <w:jc w:val="center"/>
            </w:pPr>
            <w:r>
              <w:rPr>
                <w:rFonts w:ascii="Times New Roman" w:hAnsi="Times New Roman" w:eastAsia="宋体"/>
                <w:b w:val="0"/>
                <w:strike w:val="0"/>
                <w:color w:val="000000"/>
                <w:sz w:val="20"/>
              </w:rPr>
              <w:t>与 P1 相同</w:t>
            </w:r>
          </w:p>
        </w:tc>
        <w:tc>
          <w:tcPr>
            <w:tcW w:type="dxa" w:w="2406"/>
            <w:vAlign w:val="center"/>
          </w:tcPr>
          <w:p>
            <w:pPr>
              <w:keepNext w:val="0"/>
              <w:widowControl/>
              <w:spacing w:line="269" w:lineRule="auto" w:after="0"/>
              <w:ind w:firstLine="0"/>
              <w:jc w:val="center"/>
            </w:pPr>
            <w:r>
              <w:rPr>
                <w:rFonts w:ascii="Times New Roman" w:hAnsi="Times New Roman" w:eastAsia="宋体"/>
                <w:b w:val="0"/>
                <w:strike w:val="0"/>
                <w:color w:val="000000"/>
                <w:sz w:val="20"/>
              </w:rPr>
              <w:t>严格 schema</w:t>
            </w:r>
          </w:p>
        </w:tc>
        <w:tc>
          <w:tcPr>
            <w:tcW w:type="dxa" w:w="2646"/>
            <w:vAlign w:val="center"/>
          </w:tcPr>
          <w:p>
            <w:pPr>
              <w:keepNext w:val="0"/>
              <w:widowControl/>
              <w:spacing w:line="269" w:lineRule="auto" w:after="0"/>
              <w:ind w:firstLine="0"/>
              <w:jc w:val="center"/>
            </w:pPr>
            <w:r>
              <w:rPr>
                <w:rFonts w:ascii="Times New Roman" w:hAnsi="Times New Roman" w:eastAsia="宋体"/>
                <w:b w:val="0"/>
                <w:strike w:val="0"/>
                <w:color w:val="000000"/>
                <w:sz w:val="20"/>
              </w:rPr>
              <w:t>审计、一次修复、复验与发布控制</w:t>
            </w:r>
          </w:p>
        </w:tc>
      </w:tr>
    </w:tbl>
    <w:p>
      <w:pPr>
        <w:widowControl/>
        <w:spacing w:before="120"/>
        <w:jc w:val="both"/>
      </w:pPr>
      <w:r>
        <w:rPr>
          <w:rFonts w:ascii="Times New Roman" w:hAnsi="Times New Roman" w:eastAsia="宋体"/>
          <w:b w:val="0"/>
          <w:strike w:val="0"/>
          <w:color w:val="000000"/>
          <w:sz w:val="22"/>
        </w:rPr>
        <w:t>各组使用 gpt-5.6-luna、low、温度 1.0、128,000 词元最大输出预算和三个固定种子，每组 180 个结果。运行时模型和审计器不读取参考答案。案例先固定参考判断，模型输出随后按共同指标评价。</w:t>
      </w:r>
    </w:p>
    <w:p>
      <w:pPr>
        <w:pStyle w:val="Heading2"/>
        <w:widowControl/>
      </w:pPr>
      <w:r>
        <w:rPr>
          <w:rFonts w:ascii="Times New Roman" w:hAnsi="Times New Roman" w:eastAsia="宋体"/>
          <w:b w:val="0"/>
          <w:strike w:val="0"/>
          <w:color w:val="000000"/>
          <w:sz w:val="23"/>
        </w:rPr>
        <w:t>D.2 审计与结果</w:t>
      </w:r>
    </w:p>
    <w:p>
      <w:pPr>
        <w:widowControl/>
        <w:jc w:val="both"/>
      </w:pPr>
      <w:r>
        <w:rPr>
          <w:rFonts w:ascii="Times New Roman" w:hAnsi="Times New Roman" w:eastAsia="宋体"/>
          <w:b w:val="0"/>
          <w:strike w:val="0"/>
          <w:color w:val="000000"/>
          <w:sz w:val="22"/>
        </w:rPr>
        <w:t>审计器由 LLM 辅助人工编写，检查字段类型、枚举、主要与备选管辖类型、结论与部分条款之间的约定，以及引用是否位于允许证据中。P3 将原事实、相同证据、原答案和诊断交给模型，允许一次修订；复验仍失败时保存关闭记录。</w:t>
      </w:r>
    </w:p>
    <w:p>
      <w:pPr>
        <w:widowControl/>
        <w:jc w:val="both"/>
      </w:pPr>
      <w:r>
        <w:rPr>
          <w:rFonts w:ascii="Times New Roman" w:hAnsi="Times New Roman" w:eastAsia="宋体"/>
          <w:b w:val="0"/>
          <w:strike w:val="0"/>
          <w:color w:val="000000"/>
          <w:sz w:val="22"/>
        </w:rPr>
        <w:t>主要复合终点要求结构有效、共同交付规则通过、四项参考义务兼容且实际发布。参考义务分别检查所选结论、主要管辖类型、必需证据和条件标记；证据义务要求与非空必需集合至少有一项交集。自由文本法律理由不由这四项字段比较完整判定。</w:t>
      </w:r>
    </w:p>
    <w:p>
      <w:pPr>
        <w:keepNext/>
        <w:widowControl/>
        <w:ind w:firstLine="0"/>
        <w:jc w:val="left"/>
      </w:pPr>
      <w:r>
        <w:rPr>
          <w:rFonts w:ascii="Times New Roman" w:hAnsi="Times New Roman" w:eastAsia="宋体"/>
          <w:b/>
          <w:strike w:val="0"/>
          <w:color w:val="000000"/>
          <w:sz w:val="20"/>
        </w:rPr>
        <w:t>表 D2 四组结果 每组 180 个结果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1522"/>
        <w:gridCol w:w="1722"/>
        <w:gridCol w:w="1649"/>
        <w:gridCol w:w="1698"/>
        <w:gridCol w:w="1624"/>
        <w:gridCol w:w="1649"/>
      </w:tblGrid>
      <w:tr>
        <w:trPr>
          <w:cantSplit/>
          <w:tblHeader/>
        </w:trPr>
        <w:tc>
          <w:tcPr>
            <w:tcW w:type="dxa" w:w="1522"/>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组别</w:t>
            </w:r>
          </w:p>
        </w:tc>
        <w:tc>
          <w:tcPr>
            <w:tcW w:type="dxa" w:w="1722"/>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结构有效</w:t>
            </w:r>
          </w:p>
        </w:tc>
        <w:tc>
          <w:tcPr>
            <w:tcW w:type="dxa" w:w="164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交付有效</w:t>
            </w:r>
          </w:p>
        </w:tc>
        <w:tc>
          <w:tcPr>
            <w:tcW w:type="dxa" w:w="169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实际发布</w:t>
            </w:r>
          </w:p>
        </w:tc>
        <w:tc>
          <w:tcPr>
            <w:tcW w:type="dxa" w:w="1624"/>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参考兼容</w:t>
            </w:r>
          </w:p>
        </w:tc>
        <w:tc>
          <w:tcPr>
            <w:tcW w:type="dxa" w:w="1649"/>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主要复合终点</w:t>
            </w:r>
          </w:p>
        </w:tc>
      </w:tr>
      <w:tr>
        <w:trPr>
          <w:cantSplit/>
        </w:trPr>
        <w:tc>
          <w:tcPr>
            <w:tcW w:type="dxa" w:w="1522"/>
            <w:vAlign w:val="center"/>
          </w:tcPr>
          <w:p>
            <w:pPr>
              <w:keepNext/>
              <w:widowControl/>
              <w:spacing w:line="269" w:lineRule="auto" w:after="0"/>
              <w:ind w:firstLine="0"/>
              <w:jc w:val="left"/>
            </w:pPr>
            <w:r>
              <w:rPr>
                <w:rFonts w:ascii="Times New Roman" w:hAnsi="Times New Roman" w:eastAsia="宋体"/>
                <w:b w:val="0"/>
                <w:strike w:val="0"/>
                <w:color w:val="000000"/>
                <w:sz w:val="20"/>
              </w:rPr>
              <w:t>P0</w:t>
            </w:r>
          </w:p>
        </w:tc>
        <w:tc>
          <w:tcPr>
            <w:tcW w:type="dxa" w:w="1722"/>
            <w:vAlign w:val="center"/>
          </w:tcPr>
          <w:p>
            <w:pPr>
              <w:keepNext/>
              <w:widowControl/>
              <w:spacing w:line="269" w:lineRule="auto" w:after="0"/>
              <w:ind w:firstLine="0"/>
              <w:jc w:val="center"/>
            </w:pPr>
            <w:r>
              <w:rPr>
                <w:rFonts w:ascii="Times New Roman" w:hAnsi="Times New Roman" w:eastAsia="宋体"/>
                <w:b w:val="0"/>
                <w:strike w:val="0"/>
                <w:color w:val="000000"/>
                <w:sz w:val="20"/>
              </w:rPr>
              <w:t>180（100.0）</w:t>
            </w:r>
          </w:p>
        </w:tc>
        <w:tc>
          <w:tcPr>
            <w:tcW w:type="dxa" w:w="1649"/>
            <w:vAlign w:val="center"/>
          </w:tcPr>
          <w:p>
            <w:pPr>
              <w:keepNext/>
              <w:widowControl/>
              <w:spacing w:line="269" w:lineRule="auto" w:after="0"/>
              <w:ind w:firstLine="0"/>
              <w:jc w:val="center"/>
            </w:pPr>
            <w:r>
              <w:rPr>
                <w:rFonts w:ascii="Times New Roman" w:hAnsi="Times New Roman" w:eastAsia="宋体"/>
                <w:b w:val="0"/>
                <w:strike w:val="0"/>
                <w:color w:val="000000"/>
                <w:sz w:val="20"/>
              </w:rPr>
              <w:t>91（50.6）</w:t>
            </w:r>
          </w:p>
        </w:tc>
        <w:tc>
          <w:tcPr>
            <w:tcW w:type="dxa" w:w="1698"/>
            <w:vAlign w:val="center"/>
          </w:tcPr>
          <w:p>
            <w:pPr>
              <w:keepNext/>
              <w:widowControl/>
              <w:spacing w:line="269" w:lineRule="auto" w:after="0"/>
              <w:ind w:firstLine="0"/>
              <w:jc w:val="center"/>
            </w:pPr>
            <w:r>
              <w:rPr>
                <w:rFonts w:ascii="Times New Roman" w:hAnsi="Times New Roman" w:eastAsia="宋体"/>
                <w:b w:val="0"/>
                <w:strike w:val="0"/>
                <w:color w:val="000000"/>
                <w:sz w:val="20"/>
              </w:rPr>
              <w:t>180（100.0）</w:t>
            </w:r>
          </w:p>
        </w:tc>
        <w:tc>
          <w:tcPr>
            <w:tcW w:type="dxa" w:w="1624"/>
            <w:vAlign w:val="center"/>
          </w:tcPr>
          <w:p>
            <w:pPr>
              <w:keepNext/>
              <w:widowControl/>
              <w:spacing w:line="269" w:lineRule="auto" w:after="0"/>
              <w:ind w:firstLine="0"/>
              <w:jc w:val="center"/>
            </w:pPr>
            <w:r>
              <w:rPr>
                <w:rFonts w:ascii="Times New Roman" w:hAnsi="Times New Roman" w:eastAsia="宋体"/>
                <w:b w:val="0"/>
                <w:strike w:val="0"/>
                <w:color w:val="000000"/>
                <w:sz w:val="20"/>
              </w:rPr>
              <w:t>74（41.1）</w:t>
            </w:r>
          </w:p>
        </w:tc>
        <w:tc>
          <w:tcPr>
            <w:tcW w:type="dxa" w:w="1649"/>
            <w:vAlign w:val="center"/>
          </w:tcPr>
          <w:p>
            <w:pPr>
              <w:keepNext/>
              <w:widowControl/>
              <w:spacing w:line="269" w:lineRule="auto" w:after="0"/>
              <w:ind w:firstLine="0"/>
              <w:jc w:val="center"/>
            </w:pPr>
            <w:r>
              <w:rPr>
                <w:rFonts w:ascii="Times New Roman" w:hAnsi="Times New Roman" w:eastAsia="宋体"/>
                <w:b w:val="0"/>
                <w:strike w:val="0"/>
                <w:color w:val="000000"/>
                <w:sz w:val="20"/>
              </w:rPr>
              <w:t>73（40.6）</w:t>
            </w:r>
          </w:p>
        </w:tc>
      </w:tr>
      <w:tr>
        <w:trPr>
          <w:cantSplit/>
        </w:trPr>
        <w:tc>
          <w:tcPr>
            <w:tcW w:type="dxa" w:w="1522"/>
            <w:vAlign w:val="center"/>
          </w:tcPr>
          <w:p>
            <w:pPr>
              <w:keepNext/>
              <w:widowControl/>
              <w:spacing w:line="269" w:lineRule="auto" w:after="0"/>
              <w:ind w:firstLine="0"/>
              <w:jc w:val="left"/>
            </w:pPr>
            <w:r>
              <w:rPr>
                <w:rFonts w:ascii="Times New Roman" w:hAnsi="Times New Roman" w:eastAsia="宋体"/>
                <w:b w:val="0"/>
                <w:strike w:val="0"/>
                <w:color w:val="000000"/>
                <w:sz w:val="20"/>
              </w:rPr>
              <w:t>P1</w:t>
            </w:r>
          </w:p>
        </w:tc>
        <w:tc>
          <w:tcPr>
            <w:tcW w:type="dxa" w:w="1722"/>
            <w:vAlign w:val="center"/>
          </w:tcPr>
          <w:p>
            <w:pPr>
              <w:keepNext/>
              <w:widowControl/>
              <w:spacing w:line="269" w:lineRule="auto" w:after="0"/>
              <w:ind w:firstLine="0"/>
              <w:jc w:val="center"/>
            </w:pPr>
            <w:r>
              <w:rPr>
                <w:rFonts w:ascii="Times New Roman" w:hAnsi="Times New Roman" w:eastAsia="宋体"/>
                <w:b w:val="0"/>
                <w:strike w:val="0"/>
                <w:color w:val="000000"/>
                <w:sz w:val="20"/>
              </w:rPr>
              <w:t>178（98.9）</w:t>
            </w:r>
          </w:p>
        </w:tc>
        <w:tc>
          <w:tcPr>
            <w:tcW w:type="dxa" w:w="1649"/>
            <w:vAlign w:val="center"/>
          </w:tcPr>
          <w:p>
            <w:pPr>
              <w:keepNext/>
              <w:widowControl/>
              <w:spacing w:line="269" w:lineRule="auto" w:after="0"/>
              <w:ind w:firstLine="0"/>
              <w:jc w:val="center"/>
            </w:pPr>
            <w:r>
              <w:rPr>
                <w:rFonts w:ascii="Times New Roman" w:hAnsi="Times New Roman" w:eastAsia="宋体"/>
                <w:b w:val="0"/>
                <w:strike w:val="0"/>
                <w:color w:val="000000"/>
                <w:sz w:val="20"/>
              </w:rPr>
              <w:t>117（65.0）</w:t>
            </w:r>
          </w:p>
        </w:tc>
        <w:tc>
          <w:tcPr>
            <w:tcW w:type="dxa" w:w="1698"/>
            <w:vAlign w:val="center"/>
          </w:tcPr>
          <w:p>
            <w:pPr>
              <w:keepNext/>
              <w:widowControl/>
              <w:spacing w:line="269" w:lineRule="auto" w:after="0"/>
              <w:ind w:firstLine="0"/>
              <w:jc w:val="center"/>
            </w:pPr>
            <w:r>
              <w:rPr>
                <w:rFonts w:ascii="Times New Roman" w:hAnsi="Times New Roman" w:eastAsia="宋体"/>
                <w:b w:val="0"/>
                <w:strike w:val="0"/>
                <w:color w:val="000000"/>
                <w:sz w:val="20"/>
              </w:rPr>
              <w:t>178（98.9）</w:t>
            </w:r>
          </w:p>
        </w:tc>
        <w:tc>
          <w:tcPr>
            <w:tcW w:type="dxa" w:w="1624"/>
            <w:vAlign w:val="center"/>
          </w:tcPr>
          <w:p>
            <w:pPr>
              <w:keepNext/>
              <w:widowControl/>
              <w:spacing w:line="269" w:lineRule="auto" w:after="0"/>
              <w:ind w:firstLine="0"/>
              <w:jc w:val="center"/>
            </w:pPr>
            <w:r>
              <w:rPr>
                <w:rFonts w:ascii="Times New Roman" w:hAnsi="Times New Roman" w:eastAsia="宋体"/>
                <w:b w:val="0"/>
                <w:strike w:val="0"/>
                <w:color w:val="000000"/>
                <w:sz w:val="20"/>
              </w:rPr>
              <w:t>102（56.7）</w:t>
            </w:r>
          </w:p>
        </w:tc>
        <w:tc>
          <w:tcPr>
            <w:tcW w:type="dxa" w:w="1649"/>
            <w:vAlign w:val="center"/>
          </w:tcPr>
          <w:p>
            <w:pPr>
              <w:keepNext/>
              <w:widowControl/>
              <w:spacing w:line="269" w:lineRule="auto" w:after="0"/>
              <w:ind w:firstLine="0"/>
              <w:jc w:val="center"/>
            </w:pPr>
            <w:r>
              <w:rPr>
                <w:rFonts w:ascii="Times New Roman" w:hAnsi="Times New Roman" w:eastAsia="宋体"/>
                <w:b w:val="0"/>
                <w:strike w:val="0"/>
                <w:color w:val="000000"/>
                <w:sz w:val="20"/>
              </w:rPr>
              <w:t>96（53.3）</w:t>
            </w:r>
          </w:p>
        </w:tc>
      </w:tr>
      <w:tr>
        <w:trPr>
          <w:cantSplit/>
        </w:trPr>
        <w:tc>
          <w:tcPr>
            <w:tcW w:type="dxa" w:w="1522"/>
            <w:vAlign w:val="center"/>
          </w:tcPr>
          <w:p>
            <w:pPr>
              <w:keepNext/>
              <w:widowControl/>
              <w:spacing w:line="269" w:lineRule="auto" w:after="0"/>
              <w:ind w:firstLine="0"/>
              <w:jc w:val="left"/>
            </w:pPr>
            <w:r>
              <w:rPr>
                <w:rFonts w:ascii="Times New Roman" w:hAnsi="Times New Roman" w:eastAsia="宋体"/>
                <w:b w:val="0"/>
                <w:strike w:val="0"/>
                <w:color w:val="000000"/>
                <w:sz w:val="20"/>
              </w:rPr>
              <w:t>P2</w:t>
            </w:r>
          </w:p>
        </w:tc>
        <w:tc>
          <w:tcPr>
            <w:tcW w:type="dxa" w:w="1722"/>
            <w:vAlign w:val="center"/>
          </w:tcPr>
          <w:p>
            <w:pPr>
              <w:keepNext/>
              <w:widowControl/>
              <w:spacing w:line="269" w:lineRule="auto" w:after="0"/>
              <w:ind w:firstLine="0"/>
              <w:jc w:val="center"/>
            </w:pPr>
            <w:r>
              <w:rPr>
                <w:rFonts w:ascii="Times New Roman" w:hAnsi="Times New Roman" w:eastAsia="宋体"/>
                <w:b w:val="0"/>
                <w:strike w:val="0"/>
                <w:color w:val="000000"/>
                <w:sz w:val="20"/>
              </w:rPr>
              <w:t>180（100.0）</w:t>
            </w:r>
          </w:p>
        </w:tc>
        <w:tc>
          <w:tcPr>
            <w:tcW w:type="dxa" w:w="1649"/>
            <w:vAlign w:val="center"/>
          </w:tcPr>
          <w:p>
            <w:pPr>
              <w:keepNext/>
              <w:widowControl/>
              <w:spacing w:line="269" w:lineRule="auto" w:after="0"/>
              <w:ind w:firstLine="0"/>
              <w:jc w:val="center"/>
            </w:pPr>
            <w:r>
              <w:rPr>
                <w:rFonts w:ascii="Times New Roman" w:hAnsi="Times New Roman" w:eastAsia="宋体"/>
                <w:b w:val="0"/>
                <w:strike w:val="0"/>
                <w:color w:val="000000"/>
                <w:sz w:val="20"/>
              </w:rPr>
              <w:t>118（65.6）</w:t>
            </w:r>
          </w:p>
        </w:tc>
        <w:tc>
          <w:tcPr>
            <w:tcW w:type="dxa" w:w="1698"/>
            <w:vAlign w:val="center"/>
          </w:tcPr>
          <w:p>
            <w:pPr>
              <w:keepNext/>
              <w:widowControl/>
              <w:spacing w:line="269" w:lineRule="auto" w:after="0"/>
              <w:ind w:firstLine="0"/>
              <w:jc w:val="center"/>
            </w:pPr>
            <w:r>
              <w:rPr>
                <w:rFonts w:ascii="Times New Roman" w:hAnsi="Times New Roman" w:eastAsia="宋体"/>
                <w:b w:val="0"/>
                <w:strike w:val="0"/>
                <w:color w:val="000000"/>
                <w:sz w:val="20"/>
              </w:rPr>
              <w:t>180（100.0）</w:t>
            </w:r>
          </w:p>
        </w:tc>
        <w:tc>
          <w:tcPr>
            <w:tcW w:type="dxa" w:w="1624"/>
            <w:vAlign w:val="center"/>
          </w:tcPr>
          <w:p>
            <w:pPr>
              <w:keepNext/>
              <w:widowControl/>
              <w:spacing w:line="269" w:lineRule="auto" w:after="0"/>
              <w:ind w:firstLine="0"/>
              <w:jc w:val="center"/>
            </w:pPr>
            <w:r>
              <w:rPr>
                <w:rFonts w:ascii="Times New Roman" w:hAnsi="Times New Roman" w:eastAsia="宋体"/>
                <w:b w:val="0"/>
                <w:strike w:val="0"/>
                <w:color w:val="000000"/>
                <w:sz w:val="20"/>
              </w:rPr>
              <w:t>105（58.3）</w:t>
            </w:r>
          </w:p>
        </w:tc>
        <w:tc>
          <w:tcPr>
            <w:tcW w:type="dxa" w:w="1649"/>
            <w:vAlign w:val="center"/>
          </w:tcPr>
          <w:p>
            <w:pPr>
              <w:keepNext/>
              <w:widowControl/>
              <w:spacing w:line="269" w:lineRule="auto" w:after="0"/>
              <w:ind w:firstLine="0"/>
              <w:jc w:val="center"/>
            </w:pPr>
            <w:r>
              <w:rPr>
                <w:rFonts w:ascii="Times New Roman" w:hAnsi="Times New Roman" w:eastAsia="宋体"/>
                <w:b w:val="0"/>
                <w:strike w:val="0"/>
                <w:color w:val="000000"/>
                <w:sz w:val="20"/>
              </w:rPr>
              <w:t>101（56.1）</w:t>
            </w:r>
          </w:p>
        </w:tc>
      </w:tr>
      <w:tr>
        <w:trPr>
          <w:cantSplit/>
        </w:trPr>
        <w:tc>
          <w:tcPr>
            <w:tcW w:type="dxa" w:w="1522"/>
            <w:vAlign w:val="center"/>
          </w:tcPr>
          <w:p>
            <w:pPr>
              <w:keepNext w:val="0"/>
              <w:widowControl/>
              <w:spacing w:line="269" w:lineRule="auto" w:after="0"/>
              <w:ind w:firstLine="0"/>
              <w:jc w:val="left"/>
            </w:pPr>
            <w:r>
              <w:rPr>
                <w:rFonts w:ascii="Times New Roman" w:hAnsi="Times New Roman" w:eastAsia="宋体"/>
                <w:b w:val="0"/>
                <w:strike w:val="0"/>
                <w:color w:val="000000"/>
                <w:sz w:val="20"/>
              </w:rPr>
              <w:t>P3</w:t>
            </w:r>
          </w:p>
        </w:tc>
        <w:tc>
          <w:tcPr>
            <w:tcW w:type="dxa" w:w="1722"/>
            <w:vAlign w:val="center"/>
          </w:tcPr>
          <w:p>
            <w:pPr>
              <w:keepNext w:val="0"/>
              <w:widowControl/>
              <w:spacing w:line="269" w:lineRule="auto" w:after="0"/>
              <w:ind w:firstLine="0"/>
              <w:jc w:val="center"/>
            </w:pPr>
            <w:r>
              <w:rPr>
                <w:rFonts w:ascii="Times New Roman" w:hAnsi="Times New Roman" w:eastAsia="宋体"/>
                <w:b w:val="0"/>
                <w:strike w:val="0"/>
                <w:color w:val="000000"/>
                <w:sz w:val="20"/>
              </w:rPr>
              <w:t>180（100.0）</w:t>
            </w:r>
          </w:p>
        </w:tc>
        <w:tc>
          <w:tcPr>
            <w:tcW w:type="dxa" w:w="1649"/>
            <w:vAlign w:val="center"/>
          </w:tcPr>
          <w:p>
            <w:pPr>
              <w:keepNext w:val="0"/>
              <w:widowControl/>
              <w:spacing w:line="269" w:lineRule="auto" w:after="0"/>
              <w:ind w:firstLine="0"/>
              <w:jc w:val="center"/>
            </w:pPr>
            <w:r>
              <w:rPr>
                <w:rFonts w:ascii="Times New Roman" w:hAnsi="Times New Roman" w:eastAsia="宋体"/>
                <w:b w:val="0"/>
                <w:strike w:val="0"/>
                <w:color w:val="000000"/>
                <w:sz w:val="20"/>
              </w:rPr>
              <w:t>180（100.0）</w:t>
            </w:r>
          </w:p>
        </w:tc>
        <w:tc>
          <w:tcPr>
            <w:tcW w:type="dxa" w:w="1698"/>
            <w:vAlign w:val="center"/>
          </w:tcPr>
          <w:p>
            <w:pPr>
              <w:keepNext w:val="0"/>
              <w:widowControl/>
              <w:spacing w:line="269" w:lineRule="auto" w:after="0"/>
              <w:ind w:firstLine="0"/>
              <w:jc w:val="center"/>
            </w:pPr>
            <w:r>
              <w:rPr>
                <w:rFonts w:ascii="Times New Roman" w:hAnsi="Times New Roman" w:eastAsia="宋体"/>
                <w:b w:val="0"/>
                <w:strike w:val="0"/>
                <w:color w:val="000000"/>
                <w:sz w:val="20"/>
              </w:rPr>
              <w:t>176（97.8）</w:t>
            </w:r>
          </w:p>
        </w:tc>
        <w:tc>
          <w:tcPr>
            <w:tcW w:type="dxa" w:w="1624"/>
            <w:vAlign w:val="center"/>
          </w:tcPr>
          <w:p>
            <w:pPr>
              <w:keepNext w:val="0"/>
              <w:widowControl/>
              <w:spacing w:line="269" w:lineRule="auto" w:after="0"/>
              <w:ind w:firstLine="0"/>
              <w:jc w:val="center"/>
            </w:pPr>
            <w:r>
              <w:rPr>
                <w:rFonts w:ascii="Times New Roman" w:hAnsi="Times New Roman" w:eastAsia="宋体"/>
                <w:b w:val="0"/>
                <w:strike w:val="0"/>
                <w:color w:val="000000"/>
                <w:sz w:val="20"/>
              </w:rPr>
              <w:t>144（80.0）</w:t>
            </w:r>
          </w:p>
        </w:tc>
        <w:tc>
          <w:tcPr>
            <w:tcW w:type="dxa" w:w="1649"/>
            <w:vAlign w:val="center"/>
          </w:tcPr>
          <w:p>
            <w:pPr>
              <w:keepNext w:val="0"/>
              <w:widowControl/>
              <w:spacing w:line="269" w:lineRule="auto" w:after="0"/>
              <w:ind w:firstLine="0"/>
              <w:jc w:val="center"/>
            </w:pPr>
            <w:r>
              <w:rPr>
                <w:rFonts w:ascii="Times New Roman" w:hAnsi="Times New Roman" w:eastAsia="宋体"/>
                <w:b w:val="0"/>
                <w:strike w:val="0"/>
                <w:color w:val="000000"/>
                <w:sz w:val="20"/>
              </w:rPr>
              <w:t>143（79.4）</w:t>
            </w:r>
          </w:p>
        </w:tc>
      </w:tr>
    </w:tbl>
    <w:p>
      <w:pPr>
        <w:widowControl/>
        <w:spacing w:before="120"/>
        <w:jc w:val="both"/>
      </w:pPr>
      <w:r>
        <w:rPr>
          <w:rFonts w:ascii="Times New Roman" w:hAnsi="Times New Roman" w:eastAsia="宋体"/>
          <w:b w:val="0"/>
          <w:strike w:val="0"/>
          <w:color w:val="000000"/>
          <w:sz w:val="22"/>
        </w:rPr>
        <w:t>P3 的交付有效记录中包含四个关闭记录，实际发布为 176 个，达到主要终点为 143 个。62 个单元触发修复，其中 40 个从参考不兼容转为兼容并发布，42 个修复单元最终达到主要终点；另有 3 个从兼容转为不兼容。字段兼容与交付通过因而分别统计。</w:t>
      </w:r>
    </w:p>
    <w:p>
      <w:pPr>
        <w:widowControl/>
        <w:jc w:val="both"/>
      </w:pPr>
      <w:r>
        <w:rPr>
          <w:rFonts w:ascii="Times New Roman" w:hAnsi="Times New Roman" w:eastAsia="宋体"/>
          <w:b w:val="0"/>
          <w:strike w:val="0"/>
          <w:color w:val="000000"/>
          <w:sz w:val="22"/>
        </w:rPr>
        <w:t>相同案例在四种条件下的主要复合终点差异见表 D3。先在每个案例内汇总三次运行，再计算条件间的差值；以 60 个案例为单位进行 20,000 次配对重采样，报告 95% 百分位区间；每次抽取保留该案例在各条件下的对应结果。</w:t>
      </w:r>
    </w:p>
    <w:p>
      <w:pPr>
        <w:keepNext/>
        <w:widowControl/>
        <w:ind w:firstLine="0"/>
        <w:jc w:val="left"/>
      </w:pPr>
      <w:r>
        <w:rPr>
          <w:rFonts w:ascii="Times New Roman" w:hAnsi="Times New Roman" w:eastAsia="宋体"/>
          <w:b/>
          <w:strike w:val="0"/>
          <w:color w:val="000000"/>
          <w:sz w:val="20"/>
        </w:rPr>
        <w:t>表 D3 PIL 主要复合终点的成功率差及区间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3333"/>
        <w:gridCol w:w="2758"/>
        <w:gridCol w:w="3773"/>
      </w:tblGrid>
      <w:tr>
        <w:trPr>
          <w:cantSplit/>
          <w:tblHeader/>
        </w:trPr>
        <w:tc>
          <w:tcPr>
            <w:tcW w:type="dxa" w:w="3333"/>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比较条件</w:t>
            </w:r>
          </w:p>
        </w:tc>
        <w:tc>
          <w:tcPr>
            <w:tcW w:type="dxa" w:w="2758"/>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成功率差／百分点</w:t>
            </w:r>
          </w:p>
        </w:tc>
        <w:tc>
          <w:tcPr>
            <w:tcW w:type="dxa" w:w="3773"/>
            <w:vAlign w:val="center"/>
            <w:shd w:fill="E6E6E6"/>
          </w:tcPr>
          <w:p>
            <w:pPr>
              <w:keepNext/>
              <w:widowControl/>
              <w:spacing w:line="269" w:lineRule="auto" w:after="0"/>
              <w:ind w:firstLine="0"/>
              <w:jc w:val="center"/>
            </w:pPr>
            <w:r>
              <w:rPr>
                <w:rFonts w:ascii="Times New Roman" w:hAnsi="Times New Roman" w:eastAsia="宋体"/>
                <w:b/>
                <w:strike w:val="0"/>
                <w:color w:val="000000"/>
                <w:sz w:val="20"/>
              </w:rPr>
              <w:t>95% 重采样区间／百分点</w:t>
            </w:r>
          </w:p>
        </w:tc>
      </w:tr>
      <w:tr>
        <w:trPr>
          <w:cantSplit/>
        </w:trPr>
        <w:tc>
          <w:tcPr>
            <w:tcW w:type="dxa" w:w="3333"/>
            <w:vAlign w:val="center"/>
          </w:tcPr>
          <w:p>
            <w:pPr>
              <w:keepNext/>
              <w:widowControl/>
              <w:spacing w:line="269" w:lineRule="auto" w:after="0"/>
              <w:ind w:firstLine="0"/>
              <w:jc w:val="left"/>
            </w:pPr>
            <w:r>
              <w:rPr>
                <w:rFonts w:ascii="Times New Roman" w:hAnsi="Times New Roman" w:eastAsia="宋体"/>
                <w:b w:val="0"/>
                <w:strike w:val="0"/>
                <w:color w:val="000000"/>
                <w:sz w:val="20"/>
              </w:rPr>
              <w:t>检索增强 − 基础提示</w:t>
            </w:r>
          </w:p>
        </w:tc>
        <w:tc>
          <w:tcPr>
            <w:tcW w:type="dxa" w:w="2758"/>
            <w:vAlign w:val="center"/>
          </w:tcPr>
          <w:p>
            <w:pPr>
              <w:keepNext/>
              <w:widowControl/>
              <w:spacing w:line="269" w:lineRule="auto" w:after="0"/>
              <w:ind w:firstLine="0"/>
              <w:jc w:val="center"/>
            </w:pPr>
            <w:r>
              <w:rPr>
                <w:rFonts w:ascii="Times New Roman" w:hAnsi="Times New Roman" w:eastAsia="宋体"/>
                <w:b w:val="0"/>
                <w:strike w:val="0"/>
                <w:color w:val="000000"/>
                <w:sz w:val="20"/>
              </w:rPr>
              <w:t>+12.8</w:t>
            </w:r>
          </w:p>
        </w:tc>
        <w:tc>
          <w:tcPr>
            <w:tcW w:type="dxa" w:w="3773"/>
            <w:vAlign w:val="center"/>
          </w:tcPr>
          <w:p>
            <w:pPr>
              <w:keepNext/>
              <w:widowControl/>
              <w:spacing w:line="269" w:lineRule="auto" w:after="0"/>
              <w:ind w:firstLine="0"/>
              <w:jc w:val="center"/>
            </w:pPr>
            <w:r>
              <w:rPr>
                <w:rFonts w:ascii="Times New Roman" w:hAnsi="Times New Roman" w:eastAsia="宋体"/>
                <w:b w:val="0"/>
                <w:strike w:val="0"/>
                <w:color w:val="000000"/>
                <w:sz w:val="20"/>
              </w:rPr>
              <w:t>[2.2, 23.3]</w:t>
            </w:r>
          </w:p>
        </w:tc>
      </w:tr>
      <w:tr>
        <w:trPr>
          <w:cantSplit/>
        </w:trPr>
        <w:tc>
          <w:tcPr>
            <w:tcW w:type="dxa" w:w="3333"/>
            <w:vAlign w:val="center"/>
          </w:tcPr>
          <w:p>
            <w:pPr>
              <w:keepNext/>
              <w:widowControl/>
              <w:spacing w:line="269" w:lineRule="auto" w:after="0"/>
              <w:ind w:firstLine="0"/>
              <w:jc w:val="left"/>
            </w:pPr>
            <w:r>
              <w:rPr>
                <w:rFonts w:ascii="Times New Roman" w:hAnsi="Times New Roman" w:eastAsia="宋体"/>
                <w:b w:val="0"/>
                <w:strike w:val="0"/>
                <w:color w:val="000000"/>
                <w:sz w:val="20"/>
              </w:rPr>
              <w:t>结构约束 − 检索增强</w:t>
            </w:r>
          </w:p>
        </w:tc>
        <w:tc>
          <w:tcPr>
            <w:tcW w:type="dxa" w:w="2758"/>
            <w:vAlign w:val="center"/>
          </w:tcPr>
          <w:p>
            <w:pPr>
              <w:keepNext/>
              <w:widowControl/>
              <w:spacing w:line="269" w:lineRule="auto" w:after="0"/>
              <w:ind w:firstLine="0"/>
              <w:jc w:val="center"/>
            </w:pPr>
            <w:r>
              <w:rPr>
                <w:rFonts w:ascii="Times New Roman" w:hAnsi="Times New Roman" w:eastAsia="宋体"/>
                <w:b w:val="0"/>
                <w:strike w:val="0"/>
                <w:color w:val="000000"/>
                <w:sz w:val="20"/>
              </w:rPr>
              <w:t>+2.8</w:t>
            </w:r>
          </w:p>
        </w:tc>
        <w:tc>
          <w:tcPr>
            <w:tcW w:type="dxa" w:w="3773"/>
            <w:vAlign w:val="center"/>
          </w:tcPr>
          <w:p>
            <w:pPr>
              <w:keepNext/>
              <w:widowControl/>
              <w:spacing w:line="269" w:lineRule="auto" w:after="0"/>
              <w:ind w:firstLine="0"/>
              <w:jc w:val="center"/>
            </w:pPr>
            <w:r>
              <w:rPr>
                <w:rFonts w:ascii="Times New Roman" w:hAnsi="Times New Roman" w:eastAsia="宋体"/>
                <w:b w:val="0"/>
                <w:strike w:val="0"/>
                <w:color w:val="000000"/>
                <w:sz w:val="20"/>
              </w:rPr>
              <w:t>[−3.3, 9.4]</w:t>
            </w:r>
          </w:p>
        </w:tc>
      </w:tr>
      <w:tr>
        <w:trPr>
          <w:cantSplit/>
        </w:trPr>
        <w:tc>
          <w:tcPr>
            <w:tcW w:type="dxa" w:w="3333"/>
            <w:vAlign w:val="center"/>
          </w:tcPr>
          <w:p>
            <w:pPr>
              <w:keepNext/>
              <w:widowControl/>
              <w:spacing w:line="269" w:lineRule="auto" w:after="0"/>
              <w:ind w:firstLine="0"/>
              <w:jc w:val="left"/>
            </w:pPr>
            <w:r>
              <w:rPr>
                <w:rFonts w:ascii="Times New Roman" w:hAnsi="Times New Roman" w:eastAsia="宋体"/>
                <w:b w:val="0"/>
                <w:strike w:val="0"/>
                <w:color w:val="000000"/>
                <w:sz w:val="20"/>
              </w:rPr>
              <w:t>完整检查 − 结构约束</w:t>
            </w:r>
          </w:p>
        </w:tc>
        <w:tc>
          <w:tcPr>
            <w:tcW w:type="dxa" w:w="2758"/>
            <w:vAlign w:val="center"/>
          </w:tcPr>
          <w:p>
            <w:pPr>
              <w:keepNext/>
              <w:widowControl/>
              <w:spacing w:line="269" w:lineRule="auto" w:after="0"/>
              <w:ind w:firstLine="0"/>
              <w:jc w:val="center"/>
            </w:pPr>
            <w:r>
              <w:rPr>
                <w:rFonts w:ascii="Times New Roman" w:hAnsi="Times New Roman" w:eastAsia="宋体"/>
                <w:b w:val="0"/>
                <w:strike w:val="0"/>
                <w:color w:val="000000"/>
                <w:sz w:val="20"/>
              </w:rPr>
              <w:t>+23.3</w:t>
            </w:r>
          </w:p>
        </w:tc>
        <w:tc>
          <w:tcPr>
            <w:tcW w:type="dxa" w:w="3773"/>
            <w:vAlign w:val="center"/>
          </w:tcPr>
          <w:p>
            <w:pPr>
              <w:keepNext/>
              <w:widowControl/>
              <w:spacing w:line="269" w:lineRule="auto" w:after="0"/>
              <w:ind w:firstLine="0"/>
              <w:jc w:val="center"/>
            </w:pPr>
            <w:r>
              <w:rPr>
                <w:rFonts w:ascii="Times New Roman" w:hAnsi="Times New Roman" w:eastAsia="宋体"/>
                <w:b w:val="0"/>
                <w:strike w:val="0"/>
                <w:color w:val="000000"/>
                <w:sz w:val="20"/>
              </w:rPr>
              <w:t>[13.3, 33.9]</w:t>
            </w:r>
          </w:p>
        </w:tc>
      </w:tr>
      <w:tr>
        <w:trPr>
          <w:cantSplit/>
        </w:trPr>
        <w:tc>
          <w:tcPr>
            <w:tcW w:type="dxa" w:w="3333"/>
            <w:vAlign w:val="center"/>
          </w:tcPr>
          <w:p>
            <w:pPr>
              <w:keepNext w:val="0"/>
              <w:widowControl/>
              <w:spacing w:line="269" w:lineRule="auto" w:after="0"/>
              <w:ind w:firstLine="0"/>
              <w:jc w:val="left"/>
            </w:pPr>
            <w:r>
              <w:rPr>
                <w:rFonts w:ascii="Times New Roman" w:hAnsi="Times New Roman" w:eastAsia="宋体"/>
                <w:b w:val="0"/>
                <w:strike w:val="0"/>
                <w:color w:val="000000"/>
                <w:sz w:val="20"/>
              </w:rPr>
              <w:t>完整检查 − 基础提示</w:t>
            </w:r>
          </w:p>
        </w:tc>
        <w:tc>
          <w:tcPr>
            <w:tcW w:type="dxa" w:w="2758"/>
            <w:vAlign w:val="center"/>
          </w:tcPr>
          <w:p>
            <w:pPr>
              <w:keepNext w:val="0"/>
              <w:widowControl/>
              <w:spacing w:line="269" w:lineRule="auto" w:after="0"/>
              <w:ind w:firstLine="0"/>
              <w:jc w:val="center"/>
            </w:pPr>
            <w:r>
              <w:rPr>
                <w:rFonts w:ascii="Times New Roman" w:hAnsi="Times New Roman" w:eastAsia="宋体"/>
                <w:b w:val="0"/>
                <w:strike w:val="0"/>
                <w:color w:val="000000"/>
                <w:sz w:val="20"/>
              </w:rPr>
              <w:t>+38.9</w:t>
            </w:r>
          </w:p>
        </w:tc>
        <w:tc>
          <w:tcPr>
            <w:tcW w:type="dxa" w:w="3773"/>
            <w:vAlign w:val="center"/>
          </w:tcPr>
          <w:p>
            <w:pPr>
              <w:keepNext w:val="0"/>
              <w:widowControl/>
              <w:spacing w:line="269" w:lineRule="auto" w:after="0"/>
              <w:ind w:firstLine="0"/>
              <w:jc w:val="center"/>
            </w:pPr>
            <w:r>
              <w:rPr>
                <w:rFonts w:ascii="Times New Roman" w:hAnsi="Times New Roman" w:eastAsia="宋体"/>
                <w:b w:val="0"/>
                <w:strike w:val="0"/>
                <w:color w:val="000000"/>
                <w:sz w:val="20"/>
              </w:rPr>
              <w:t>[27.8, 50.0]</w:t>
            </w:r>
          </w:p>
        </w:tc>
      </w:tr>
    </w:tbl>
    <w:p>
      <w:pPr>
        <w:widowControl/>
        <w:spacing w:before="120"/>
        <w:jc w:val="both"/>
      </w:pPr>
      <w:r>
        <w:rPr>
          <w:rFonts w:ascii="Times New Roman" w:hAnsi="Times New Roman" w:eastAsia="宋体"/>
          <w:b w:val="0"/>
          <w:strike w:val="0"/>
          <w:color w:val="000000"/>
          <w:sz w:val="22"/>
        </w:rPr>
        <w:t>完整检查相对结构约束增加 42 个主要终点成功结果，对应 23.3 个百分点。单独增加结构约束的差值为 2.8 个百分点，区间包含零。按 31 个设计来源组的敏感性分析及四项比较的校正检验保存在复现材料中。表中区间估计平均差值；另存的符号检验评价改善与退化方向并进行多重比较校正，不能将两种分析视为同一个判定。</w:t>
      </w:r>
    </w:p>
    <w:p>
      <w:pPr>
        <w:widowControl/>
        <w:jc w:val="both"/>
      </w:pPr>
      <w:r>
        <w:rPr>
          <w:rFonts w:ascii="Times New Roman" w:hAnsi="Times New Roman" w:eastAsia="宋体"/>
          <w:b w:val="0"/>
          <w:strike w:val="0"/>
          <w:color w:val="000000"/>
          <w:sz w:val="22"/>
        </w:rPr>
        <w:t>P0–P3 的引用 F1 均值分别为 0.449、0.720、0.712、0.692；每个预定单元的平均词元用量分别为 1,177.39、1,465.77、1,746.33、2,392.31，P3 包含追加修复。完整检查的主要终点更高，引用重合度与成本则呈现不同变化。</w:t>
      </w:r>
    </w:p>
    <w:p>
      <w:pPr>
        <w:pStyle w:val="Heading2"/>
        <w:widowControl/>
      </w:pPr>
      <w:r>
        <w:rPr>
          <w:rFonts w:ascii="Times New Roman" w:hAnsi="Times New Roman" w:eastAsia="宋体"/>
          <w:b w:val="0"/>
          <w:strike w:val="0"/>
          <w:color w:val="000000"/>
          <w:sz w:val="23"/>
        </w:rPr>
        <w:t>D.3 贯穿案例 选法院协议的类型修订</w:t>
      </w:r>
    </w:p>
    <w:p>
      <w:pPr>
        <w:widowControl/>
        <w:jc w:val="both"/>
      </w:pPr>
      <w:r>
        <w:rPr>
          <w:rFonts w:ascii="Times New Roman" w:hAnsi="Times New Roman" w:eastAsia="宋体"/>
          <w:b/>
          <w:strike w:val="0"/>
          <w:color w:val="000000"/>
          <w:sz w:val="22"/>
        </w:rPr>
        <w:t>事实与结构化生成。</w:t>
      </w:r>
      <w:r>
        <w:rPr>
          <w:rFonts w:ascii="Times New Roman" w:hAnsi="Times New Roman" w:eastAsia="宋体"/>
          <w:b w:val="0"/>
          <w:strike w:val="0"/>
          <w:color w:val="000000"/>
          <w:sz w:val="22"/>
        </w:rPr>
        <w:t xml:space="preserve"> case8 中，双方均住意大利，约定瑞典法院管辖，一方仍在意大利起诉。第 1 次 P3 运行检索到 Brussels I bis 的 Article 25、25(1) 等条款，以相同事实和证据生成决策记录。严格输出结构控制字段与枚举；初始 JSON 结构通过检查，结论为让位于约定法院。</w:t>
      </w:r>
    </w:p>
    <w:p>
      <w:pPr>
        <w:widowControl/>
        <w:jc w:val="both"/>
      </w:pPr>
      <w:r>
        <w:rPr>
          <w:rFonts w:ascii="Times New Roman" w:hAnsi="Times New Roman" w:eastAsia="宋体"/>
          <w:b/>
          <w:strike w:val="0"/>
          <w:color w:val="000000"/>
          <w:sz w:val="22"/>
        </w:rPr>
        <w:t>实际诊断。</w:t>
      </w:r>
      <w:r>
        <w:rPr>
          <w:rFonts w:ascii="Times New Roman" w:hAnsi="Times New Roman" w:eastAsia="宋体"/>
          <w:b w:val="0"/>
          <w:strike w:val="0"/>
          <w:color w:val="000000"/>
          <w:sz w:val="22"/>
        </w:rPr>
        <w:t xml:space="preserve"> 审计指出结论与主要管辖类型不一致：该结论要求主要类型为 </w:t>
      </w:r>
      <w:r>
        <w:rPr>
          <w:rFonts w:ascii="Times New Roman" w:hAnsi="Times New Roman" w:eastAsia="宋体"/>
          <w:b w:val="0"/>
          <w:strike w:val="0"/>
          <w:color w:val="000000"/>
          <w:sz w:val="22"/>
        </w:rPr>
        <w:t>agreement</w:t>
      </w:r>
      <w:r>
        <w:rPr>
          <w:rFonts w:ascii="Times New Roman" w:hAnsi="Times New Roman" w:eastAsia="宋体"/>
          <w:b w:val="0"/>
          <w:strike w:val="0"/>
          <w:color w:val="000000"/>
          <w:sz w:val="22"/>
        </w:rPr>
        <w:t xml:space="preserve">，而已填写的 </w:t>
      </w:r>
      <w:r>
        <w:rPr>
          <w:rFonts w:ascii="Times New Roman" w:hAnsi="Times New Roman" w:eastAsia="宋体"/>
          <w:b w:val="0"/>
          <w:strike w:val="0"/>
          <w:color w:val="000000"/>
          <w:sz w:val="22"/>
        </w:rPr>
        <w:t>exclusive</w:t>
      </w:r>
      <w:r>
        <w:rPr>
          <w:rFonts w:ascii="Times New Roman" w:hAnsi="Times New Roman" w:eastAsia="宋体"/>
          <w:b w:val="0"/>
          <w:strike w:val="0"/>
          <w:color w:val="000000"/>
          <w:sz w:val="22"/>
        </w:rPr>
        <w:t xml:space="preserve"> 还缺少其编码规则要求的条款依据。修订输入包含原事实、相同检索证据、初始答案和两条诊断，最多允许一次尝试。下面摘录该次初始答案和修订答案的相关字段，保留原键名、取值与依据顺序。</w:t>
      </w:r>
    </w:p>
    <w:p>
      <w:pPr>
        <w:keepNext/>
        <w:widowControl/>
        <w:ind w:firstLine="0"/>
        <w:jc w:val="left"/>
      </w:pPr>
      <w:r>
        <w:rPr>
          <w:rFonts w:ascii="Times New Roman" w:hAnsi="Times New Roman" w:eastAsia="宋体"/>
          <w:b/>
          <w:strike w:val="0"/>
          <w:color w:val="000000"/>
          <w:sz w:val="20"/>
        </w:rPr>
        <w:t>片段 D1 初始决策记录的相关字段</w:t>
      </w:r>
    </w:p>
    <w:p>
      <w:pPr>
        <w:keepNext/>
        <w:widowControl/>
        <w:spacing w:line="252" w:lineRule="auto" w:after="0"/>
        <w:ind w:firstLine="0"/>
        <w:jc w:val="left"/>
      </w:pPr>
      <w:r>
        <w:rPr>
          <w:rFonts w:ascii="Consolas" w:hAnsi="Consolas" w:eastAsia="宋体"/>
          <w:b w:val="0"/>
          <w:strike w:val="0"/>
          <w:color w:val="000000"/>
          <w:sz w:val="19"/>
        </w:rPr>
        <w:t>{</w:t>
      </w:r>
    </w:p>
    <w:p>
      <w:pPr>
        <w:keepNext/>
        <w:widowControl/>
        <w:spacing w:line="252" w:lineRule="auto" w:after="0"/>
        <w:ind w:firstLine="0"/>
        <w:jc w:val="left"/>
      </w:pPr>
      <w:r>
        <w:rPr>
          <w:rFonts w:ascii="Consolas" w:hAnsi="Consolas" w:eastAsia="宋体"/>
          <w:b w:val="0"/>
          <w:strike w:val="0"/>
          <w:color w:val="000000"/>
          <w:sz w:val="19"/>
        </w:rPr>
        <w:t xml:space="preserve">  "conclusion": "Decline_in_favor_of_chosen_court",</w:t>
      </w:r>
    </w:p>
    <w:p>
      <w:pPr>
        <w:keepNext/>
        <w:widowControl/>
        <w:spacing w:line="252" w:lineRule="auto" w:after="0"/>
        <w:ind w:firstLine="0"/>
        <w:jc w:val="left"/>
      </w:pPr>
      <w:r>
        <w:rPr>
          <w:rFonts w:ascii="Consolas" w:hAnsi="Consolas" w:eastAsia="宋体"/>
          <w:b w:val="0"/>
          <w:strike w:val="0"/>
          <w:color w:val="000000"/>
          <w:sz w:val="19"/>
        </w:rPr>
        <w:t xml:space="preserve">  "forum": "Swedish courts",</w:t>
      </w:r>
    </w:p>
    <w:p>
      <w:pPr>
        <w:keepNext/>
        <w:widowControl/>
        <w:spacing w:line="252" w:lineRule="auto" w:after="0"/>
        <w:ind w:firstLine="0"/>
        <w:jc w:val="left"/>
      </w:pPr>
      <w:r>
        <w:rPr>
          <w:rFonts w:ascii="Consolas" w:hAnsi="Consolas" w:eastAsia="宋体"/>
          <w:b w:val="0"/>
          <w:strike w:val="0"/>
          <w:color w:val="000000"/>
          <w:sz w:val="19"/>
        </w:rPr>
        <w:t xml:space="preserve">  "forum_type": "exclusive",</w:t>
      </w:r>
    </w:p>
    <w:p>
      <w:pPr>
        <w:keepNext/>
        <w:widowControl/>
        <w:spacing w:line="252" w:lineRule="auto" w:after="0"/>
        <w:ind w:firstLine="0"/>
        <w:jc w:val="left"/>
      </w:pPr>
      <w:r>
        <w:rPr>
          <w:rFonts w:ascii="Consolas" w:hAnsi="Consolas" w:eastAsia="宋体"/>
          <w:b w:val="0"/>
          <w:strike w:val="0"/>
          <w:color w:val="000000"/>
          <w:sz w:val="19"/>
        </w:rPr>
        <w:t xml:space="preserve">  "alternative_forum_types": ["agreement"],</w:t>
      </w:r>
    </w:p>
    <w:p>
      <w:pPr>
        <w:keepNext/>
        <w:widowControl/>
        <w:spacing w:line="252" w:lineRule="auto" w:after="0"/>
        <w:ind w:firstLine="0"/>
        <w:jc w:val="left"/>
      </w:pPr>
      <w:r>
        <w:rPr>
          <w:rFonts w:ascii="Consolas" w:hAnsi="Consolas" w:eastAsia="宋体"/>
          <w:b w:val="0"/>
          <w:strike w:val="0"/>
          <w:color w:val="000000"/>
          <w:sz w:val="19"/>
        </w:rPr>
        <w:t xml:space="preserve">  "legal_basis": [</w:t>
      </w:r>
    </w:p>
    <w:p>
      <w:pPr>
        <w:keepNext/>
        <w:widowControl/>
        <w:spacing w:line="252" w:lineRule="auto" w:after="0"/>
        <w:ind w:firstLine="0"/>
        <w:jc w:val="left"/>
      </w:pPr>
      <w:r>
        <w:rPr>
          <w:rFonts w:ascii="Consolas" w:hAnsi="Consolas" w:eastAsia="宋体"/>
          <w:b w:val="0"/>
          <w:strike w:val="0"/>
          <w:color w:val="000000"/>
          <w:sz w:val="19"/>
        </w:rPr>
        <w:t xml:space="preserve">    {"instrument": "BRUSSELS_I_BIS", "provision": "Art.25"},</w:t>
      </w:r>
    </w:p>
    <w:p>
      <w:pPr>
        <w:keepNext/>
        <w:widowControl/>
        <w:spacing w:line="252" w:lineRule="auto" w:after="0"/>
        <w:ind w:firstLine="0"/>
        <w:jc w:val="left"/>
      </w:pPr>
      <w:r>
        <w:rPr>
          <w:rFonts w:ascii="Consolas" w:hAnsi="Consolas" w:eastAsia="宋体"/>
          <w:b w:val="0"/>
          <w:strike w:val="0"/>
          <w:color w:val="000000"/>
          <w:sz w:val="19"/>
        </w:rPr>
        <w:t xml:space="preserve">    {"instrument": "BRUSSELS_I_BIS", "provision": "Art.25(1)"}</w:t>
      </w:r>
    </w:p>
    <w:p>
      <w:pPr>
        <w:keepNext/>
        <w:widowControl/>
        <w:spacing w:line="252" w:lineRule="auto" w:after="0"/>
        <w:ind w:firstLine="0"/>
        <w:jc w:val="left"/>
      </w:pPr>
      <w:r>
        <w:rPr>
          <w:rFonts w:ascii="Consolas" w:hAnsi="Consolas" w:eastAsia="宋体"/>
          <w:b w:val="0"/>
          <w:strike w:val="0"/>
          <w:color w:val="000000"/>
          <w:sz w:val="19"/>
        </w:rPr>
        <w:t xml:space="preserve">  ]</w:t>
      </w:r>
    </w:p>
    <w:p>
      <w:pPr>
        <w:keepNext/>
        <w:widowControl/>
        <w:spacing w:line="252" w:lineRule="auto" w:after="0"/>
        <w:ind w:firstLine="0"/>
        <w:jc w:val="left"/>
      </w:pPr>
      <w:r>
        <w:rPr>
          <w:rFonts w:ascii="Consolas" w:hAnsi="Consolas" w:eastAsia="宋体"/>
          <w:b w:val="0"/>
          <w:strike w:val="0"/>
          <w:color w:val="000000"/>
          <w:sz w:val="19"/>
        </w:rPr>
        <w:t>}</w:t>
      </w:r>
    </w:p>
    <w:p>
      <w:pPr>
        <w:keepNext/>
        <w:widowControl/>
        <w:ind w:firstLine="0"/>
        <w:jc w:val="left"/>
      </w:pPr>
      <w:r>
        <w:rPr>
          <w:rFonts w:ascii="Times New Roman" w:hAnsi="Times New Roman" w:eastAsia="宋体"/>
          <w:b/>
          <w:strike w:val="0"/>
          <w:color w:val="000000"/>
          <w:sz w:val="20"/>
        </w:rPr>
        <w:t>片段 D2 一次修订后的相关字段</w:t>
      </w:r>
    </w:p>
    <w:p>
      <w:pPr>
        <w:keepNext/>
        <w:widowControl/>
        <w:spacing w:line="252" w:lineRule="auto" w:after="0"/>
        <w:ind w:firstLine="0"/>
        <w:jc w:val="left"/>
      </w:pPr>
      <w:r>
        <w:rPr>
          <w:rFonts w:ascii="Consolas" w:hAnsi="Consolas" w:eastAsia="宋体"/>
          <w:b w:val="0"/>
          <w:strike w:val="0"/>
          <w:color w:val="000000"/>
          <w:sz w:val="19"/>
        </w:rPr>
        <w:t>{</w:t>
      </w:r>
    </w:p>
    <w:p>
      <w:pPr>
        <w:keepNext/>
        <w:widowControl/>
        <w:spacing w:line="252" w:lineRule="auto" w:after="0"/>
        <w:ind w:firstLine="0"/>
        <w:jc w:val="left"/>
      </w:pPr>
      <w:r>
        <w:rPr>
          <w:rFonts w:ascii="Consolas" w:hAnsi="Consolas" w:eastAsia="宋体"/>
          <w:b w:val="0"/>
          <w:strike w:val="0"/>
          <w:color w:val="000000"/>
          <w:sz w:val="19"/>
        </w:rPr>
        <w:t xml:space="preserve">  "conclusion": "Decline_in_favor_of_chosen_court",</w:t>
      </w:r>
    </w:p>
    <w:p>
      <w:pPr>
        <w:keepNext/>
        <w:widowControl/>
        <w:spacing w:line="252" w:lineRule="auto" w:after="0"/>
        <w:ind w:firstLine="0"/>
        <w:jc w:val="left"/>
      </w:pPr>
      <w:r>
        <w:rPr>
          <w:rFonts w:ascii="Consolas" w:hAnsi="Consolas" w:eastAsia="宋体"/>
          <w:b w:val="0"/>
          <w:strike w:val="0"/>
          <w:color w:val="000000"/>
          <w:sz w:val="19"/>
        </w:rPr>
        <w:t xml:space="preserve">  "forum": "Swedish courts",</w:t>
      </w:r>
    </w:p>
    <w:p>
      <w:pPr>
        <w:keepNext/>
        <w:widowControl/>
        <w:spacing w:line="252" w:lineRule="auto" w:after="0"/>
        <w:ind w:firstLine="0"/>
        <w:jc w:val="left"/>
      </w:pPr>
      <w:r>
        <w:rPr>
          <w:rFonts w:ascii="Consolas" w:hAnsi="Consolas" w:eastAsia="宋体"/>
          <w:b w:val="0"/>
          <w:strike w:val="0"/>
          <w:color w:val="000000"/>
          <w:sz w:val="19"/>
        </w:rPr>
        <w:t xml:space="preserve">  "forum_type": "agreement",</w:t>
      </w:r>
    </w:p>
    <w:p>
      <w:pPr>
        <w:keepNext/>
        <w:widowControl/>
        <w:spacing w:line="252" w:lineRule="auto" w:after="0"/>
        <w:ind w:firstLine="0"/>
        <w:jc w:val="left"/>
      </w:pPr>
      <w:r>
        <w:rPr>
          <w:rFonts w:ascii="Consolas" w:hAnsi="Consolas" w:eastAsia="宋体"/>
          <w:b w:val="0"/>
          <w:strike w:val="0"/>
          <w:color w:val="000000"/>
          <w:sz w:val="19"/>
        </w:rPr>
        <w:t xml:space="preserve">  "alternative_forum_types": ["exclusive"],</w:t>
      </w:r>
    </w:p>
    <w:p>
      <w:pPr>
        <w:keepNext/>
        <w:widowControl/>
        <w:spacing w:line="252" w:lineRule="auto" w:after="0"/>
        <w:ind w:firstLine="0"/>
        <w:jc w:val="left"/>
      </w:pPr>
      <w:r>
        <w:rPr>
          <w:rFonts w:ascii="Consolas" w:hAnsi="Consolas" w:eastAsia="宋体"/>
          <w:b w:val="0"/>
          <w:strike w:val="0"/>
          <w:color w:val="000000"/>
          <w:sz w:val="19"/>
        </w:rPr>
        <w:t xml:space="preserve">  "legal_basis": [</w:t>
      </w:r>
    </w:p>
    <w:p>
      <w:pPr>
        <w:keepNext/>
        <w:widowControl/>
        <w:spacing w:line="252" w:lineRule="auto" w:after="0"/>
        <w:ind w:firstLine="0"/>
        <w:jc w:val="left"/>
      </w:pPr>
      <w:r>
        <w:rPr>
          <w:rFonts w:ascii="Consolas" w:hAnsi="Consolas" w:eastAsia="宋体"/>
          <w:b w:val="0"/>
          <w:strike w:val="0"/>
          <w:color w:val="000000"/>
          <w:sz w:val="19"/>
        </w:rPr>
        <w:t xml:space="preserve">    {"instrument": "BRUSSELS_I_BIS", "provision": "Art.25"},</w:t>
      </w:r>
    </w:p>
    <w:p>
      <w:pPr>
        <w:keepNext/>
        <w:widowControl/>
        <w:spacing w:line="252" w:lineRule="auto" w:after="0"/>
        <w:ind w:firstLine="0"/>
        <w:jc w:val="left"/>
      </w:pPr>
      <w:r>
        <w:rPr>
          <w:rFonts w:ascii="Consolas" w:hAnsi="Consolas" w:eastAsia="宋体"/>
          <w:b w:val="0"/>
          <w:strike w:val="0"/>
          <w:color w:val="000000"/>
          <w:sz w:val="19"/>
        </w:rPr>
        <w:t xml:space="preserve">    {"instrument": "BRUSSELS_I_BIS", "provision": "Art.25(1)"}</w:t>
      </w:r>
    </w:p>
    <w:p>
      <w:pPr>
        <w:keepNext/>
        <w:widowControl/>
        <w:spacing w:line="252" w:lineRule="auto" w:after="0"/>
        <w:ind w:firstLine="0"/>
        <w:jc w:val="left"/>
      </w:pPr>
      <w:r>
        <w:rPr>
          <w:rFonts w:ascii="Consolas" w:hAnsi="Consolas" w:eastAsia="宋体"/>
          <w:b w:val="0"/>
          <w:strike w:val="0"/>
          <w:color w:val="000000"/>
          <w:sz w:val="19"/>
        </w:rPr>
        <w:t xml:space="preserve">  ]</w:t>
      </w:r>
    </w:p>
    <w:p>
      <w:pPr>
        <w:keepNext w:val="0"/>
        <w:widowControl/>
        <w:spacing w:line="252" w:lineRule="auto" w:after="0"/>
        <w:ind w:firstLine="0"/>
        <w:jc w:val="left"/>
      </w:pPr>
      <w:r>
        <w:rPr>
          <w:rFonts w:ascii="Consolas" w:hAnsi="Consolas" w:eastAsia="宋体"/>
          <w:b w:val="0"/>
          <w:strike w:val="0"/>
          <w:color w:val="000000"/>
          <w:sz w:val="19"/>
        </w:rPr>
        <w:t>}</w:t>
      </w:r>
    </w:p>
    <w:p>
      <w:pPr>
        <w:widowControl/>
        <w:jc w:val="both"/>
      </w:pPr>
      <w:r>
        <w:rPr>
          <w:rFonts w:ascii="Times New Roman" w:hAnsi="Times New Roman" w:eastAsia="宋体"/>
          <w:b/>
          <w:strike w:val="0"/>
          <w:color w:val="000000"/>
          <w:sz w:val="22"/>
        </w:rPr>
        <w:t>复验与发布。</w:t>
      </w:r>
      <w:r>
        <w:rPr>
          <w:rFonts w:ascii="Times New Roman" w:hAnsi="Times New Roman" w:eastAsia="宋体"/>
          <w:b w:val="0"/>
          <w:strike w:val="0"/>
          <w:color w:val="000000"/>
          <w:sz w:val="22"/>
        </w:rPr>
        <w:t xml:space="preserve"> 修订交换主要与备选类型，保留法院、结论及上述依据。复验的结构和审计均通过，记录实际发布，并由参考不兼容转为兼容，达到主要复合终点。本文以 </w:t>
      </w:r>
      <w:r>
        <w:rPr>
          <w:rFonts w:ascii="Times New Roman" w:hAnsi="Times New Roman" w:eastAsia="宋体"/>
          <w:b w:val="0"/>
          <w:strike w:val="0"/>
          <w:color w:val="000000"/>
          <w:sz w:val="22"/>
        </w:rPr>
        <w:t>agreement</w:t>
      </w:r>
      <w:r>
        <w:rPr>
          <w:rFonts w:ascii="Times New Roman" w:hAnsi="Times New Roman" w:eastAsia="宋体"/>
          <w:b w:val="0"/>
          <w:strike w:val="0"/>
          <w:color w:val="000000"/>
          <w:sz w:val="22"/>
        </w:rPr>
        <w:t xml:space="preserve"> 表示协议管辖依据，</w:t>
      </w:r>
      <w:r>
        <w:rPr>
          <w:rFonts w:ascii="Times New Roman" w:hAnsi="Times New Roman" w:eastAsia="宋体"/>
          <w:b w:val="0"/>
          <w:strike w:val="0"/>
          <w:color w:val="000000"/>
          <w:sz w:val="22"/>
        </w:rPr>
        <w:t>exclusive</w:t>
      </w:r>
      <w:r>
        <w:rPr>
          <w:rFonts w:ascii="Times New Roman" w:hAnsi="Times New Roman" w:eastAsia="宋体"/>
          <w:b w:val="0"/>
          <w:strike w:val="0"/>
          <w:color w:val="000000"/>
          <w:sz w:val="22"/>
        </w:rPr>
        <w:t xml:space="preserve"> 的主要类型对应预先编码的法定专属管辖类别；该修订不否定 Article 25(1) 下选法院协议可能具有的排他效力</w:t>
      </w:r>
      <w:hyperlink r:id="rId44" w:tooltip="EU1215_2012">
        <w:r>
          <w:rPr>
            <w:rFonts w:ascii="Times New Roman" w:hAnsi="Times New Roman" w:eastAsia="宋体"/>
            <w:color w:val="FF0000"/>
            <w:sz w:val="18"/>
            <w:u w:val="none"/>
            <w:vertAlign w:val="superscript"/>
          </w:rPr>
          <w:t>[32]</w:t>
        </w:r>
      </w:hyperlink>
      <w:r>
        <w:rPr>
          <w:rFonts w:ascii="Times New Roman" w:hAnsi="Times New Roman" w:eastAsia="宋体"/>
          <w:b w:val="0"/>
          <w:strike w:val="0"/>
          <w:color w:val="000000"/>
          <w:sz w:val="22"/>
        </w:rPr>
        <w:t>。此例展示结构有效之后的跨字段检查与修订，不能据此认定全部法律条件均已得到证明。</w:t>
      </w:r>
    </w:p>
    <w:p>
      <w:pPr>
        <w:pStyle w:val="Heading2"/>
        <w:widowControl/>
      </w:pPr>
      <w:r>
        <w:rPr>
          <w:rFonts w:ascii="Times New Roman" w:hAnsi="Times New Roman" w:eastAsia="宋体"/>
          <w:b w:val="0"/>
          <w:strike w:val="0"/>
          <w:color w:val="000000"/>
          <w:sz w:val="23"/>
        </w:rPr>
        <w:t>D.4 定向专家复核</w:t>
      </w:r>
    </w:p>
    <w:p>
      <w:pPr>
        <w:widowControl/>
        <w:jc w:val="both"/>
      </w:pPr>
      <w:r>
        <w:rPr>
          <w:rFonts w:ascii="Times New Roman" w:hAnsi="Times New Roman" w:eastAsia="宋体"/>
          <w:b w:val="0"/>
          <w:strike w:val="0"/>
          <w:color w:val="000000"/>
          <w:sz w:val="22"/>
        </w:rPr>
        <w:t>在自动评分之外，专家还对 case19 和 case42 的三份具体回答作了定向复核。case19 中，依据 Article 6(1) 转交德国国内法的结论明确，后续国内法是否赋予管辖权仍待判断</w:t>
      </w:r>
      <w:hyperlink r:id="rId44" w:tooltip="EU1215_2012">
        <w:r>
          <w:rPr>
            <w:rFonts w:ascii="Times New Roman" w:hAnsi="Times New Roman" w:eastAsia="宋体"/>
            <w:color w:val="FF0000"/>
            <w:sz w:val="18"/>
            <w:u w:val="none"/>
            <w:vertAlign w:val="superscript"/>
          </w:rPr>
          <w:t>[32]</w:t>
        </w:r>
      </w:hyperlink>
      <w:r>
        <w:rPr>
          <w:rFonts w:ascii="Times New Roman" w:hAnsi="Times New Roman" w:eastAsia="宋体"/>
          <w:b w:val="0"/>
          <w:strike w:val="0"/>
          <w:color w:val="000000"/>
          <w:sz w:val="22"/>
        </w:rPr>
        <w:t>；条件标记应评价所选结论本身，规范编码为 false。原模型 true 反映了对后一层问题的解释，实体解释可接受，但不据此改写其原自动终点。</w:t>
      </w:r>
    </w:p>
    <w:p>
      <w:pPr>
        <w:widowControl/>
        <w:jc w:val="both"/>
      </w:pPr>
      <w:r>
        <w:rPr>
          <w:rFonts w:ascii="Times New Roman" w:hAnsi="Times New Roman" w:eastAsia="宋体"/>
          <w:b w:val="0"/>
          <w:strike w:val="0"/>
          <w:color w:val="000000"/>
          <w:sz w:val="22"/>
        </w:rPr>
        <w:t>case42 中，法国消费者向荷兰商家网购家具，并另行确认阿姆斯特丹法院条款。P1 第一次回答从荷兰住所直接推出阿姆斯特丹具体法院具有管辖权，专家认为后文未纠正这一错误，判为不可接受；该回答的自动终点通过。P3 第一次回答在后文明确给整个结论加上消费者规则和选法院条件限制，专家判为有条件可接受。消费者另行确认条款并不自动满足 Articles 19 和 25(4) 的要求</w:t>
      </w:r>
      <w:hyperlink r:id="rId44" w:tooltip="EU1215_2012">
        <w:r>
          <w:rPr>
            <w:rFonts w:ascii="Times New Roman" w:hAnsi="Times New Roman" w:eastAsia="宋体"/>
            <w:color w:val="FF0000"/>
            <w:sz w:val="18"/>
            <w:u w:val="none"/>
            <w:vertAlign w:val="superscript"/>
          </w:rPr>
          <w:t>[32]</w:t>
        </w:r>
      </w:hyperlink>
      <w:r>
        <w:rPr>
          <w:rFonts w:ascii="Times New Roman" w:hAnsi="Times New Roman" w:eastAsia="宋体"/>
          <w:b w:val="0"/>
          <w:strike w:val="0"/>
          <w:color w:val="000000"/>
          <w:sz w:val="22"/>
        </w:rPr>
        <w:t>。这一对照说明结构化终点与全文实体判断应分别解释。</w:t>
      </w:r>
    </w:p>
    <w:p>
      <w:pPr>
        <w:widowControl/>
        <w:jc w:val="both"/>
      </w:pPr>
      <w:r>
        <w:rPr>
          <w:rFonts w:ascii="Times New Roman" w:hAnsi="Times New Roman" w:eastAsia="宋体"/>
          <w:b w:val="0"/>
          <w:strike w:val="0"/>
          <w:color w:val="000000"/>
          <w:sz w:val="22"/>
        </w:rPr>
        <w:t>上述意见关联具体案例和原回答，用于解释评分所覆盖的内容。完整案例、任务配置、模型制品、评价结果和分析入口按四组实验保存在随文复现材料中。</w:t>
      </w:r>
    </w:p>
    <w:p>
      <w:pPr>
        <w:pStyle w:val="Title"/>
        <w:pageBreakBefore/>
      </w:pPr>
      <w:r>
        <w:t>参考文献</w:t>
      </w:r>
    </w:p>
    <w:p>
      <w:pPr>
        <w:keepLines/>
        <w:spacing w:line="269" w:lineRule="auto" w:after="100"/>
        <w:ind w:left="320" w:hanging="320"/>
        <w:jc w:val="left"/>
      </w:pPr>
      <w:r>
        <w:rPr>
          <w:rFonts w:ascii="Times New Roman" w:hAnsi="Times New Roman" w:eastAsia="宋体"/>
          <w:b w:val="0"/>
          <w:strike w:val="0"/>
          <w:color w:val="000000"/>
          <w:sz w:val="20"/>
        </w:rPr>
        <w:t xml:space="preserve">[18] Dong, Yixin; Ruan, Charlie F.; Cai, Yaxing; Lai, Ruihang; Xu, Ziyi; Zhao, Yilong; Chen, Tianqi (2025). XGrammar: Flexible and Efficient Structured Generation Engine for Large Language Models. Proceedings of Machine Learning and Systems, 7. </w:t>
      </w:r>
      <w:hyperlink r:id="rId24">
        <w:r>
          <w:rPr>
            <w:rFonts w:ascii="Times New Roman" w:hAnsi="Times New Roman" w:eastAsia="宋体"/>
            <w:color w:val="000000"/>
            <w:sz w:val="20"/>
            <w:u w:val="none"/>
          </w:rPr>
          <w:t>https://proceedings.mlsys.org/paper_files/paper/2025/hash/5c20ca4b0b20b0bd2f1d839dc605e70f-Abstract-Conference.html</w:t>
        </w:r>
      </w:hyperlink>
    </w:p>
    <w:p>
      <w:pPr>
        <w:keepLines/>
        <w:spacing w:line="269" w:lineRule="auto" w:after="100"/>
        <w:ind w:left="320" w:hanging="320"/>
        <w:jc w:val="left"/>
      </w:pPr>
      <w:r>
        <w:rPr>
          <w:rFonts w:ascii="Times New Roman" w:hAnsi="Times New Roman" w:eastAsia="宋体"/>
          <w:b w:val="0"/>
          <w:strike w:val="0"/>
          <w:color w:val="000000"/>
          <w:sz w:val="20"/>
        </w:rPr>
        <w:t xml:space="preserve">[23] Madaan, Aman; Tandon, Niket; Gupta, Prakhar; Hallinan, Skyler; Gao, Luyu; Wiegreffe, Sarah; Alon, Uri; Dziri, Nouha; Prabhumoye, Shrimai; Yang, Yiming; Gupta, Shashank; Majumder, Bodhisattwa Prasad; Hermann, Katherine; Welleck, Sean; Yazdanbakhsh, Amir; Clark, Peter (2023). Self-Refine: Iterative Refinement with Self-Feedback. Advances in Neural Information Processing Systems, 36, 46534–46594. </w:t>
      </w:r>
      <w:hyperlink r:id="rId28">
        <w:r>
          <w:rPr>
            <w:rFonts w:ascii="Times New Roman" w:hAnsi="Times New Roman" w:eastAsia="宋体"/>
            <w:color w:val="000000"/>
            <w:sz w:val="20"/>
            <w:u w:val="none"/>
          </w:rPr>
          <w:t>https://doi.org/10.52202/075280-2019</w:t>
        </w:r>
      </w:hyperlink>
    </w:p>
    <w:p>
      <w:pPr>
        <w:keepLines/>
        <w:spacing w:line="269" w:lineRule="auto" w:after="100"/>
        <w:ind w:left="320" w:hanging="320"/>
        <w:jc w:val="left"/>
      </w:pPr>
      <w:r>
        <w:rPr>
          <w:rFonts w:ascii="Times New Roman" w:hAnsi="Times New Roman" w:eastAsia="宋体"/>
          <w:b w:val="0"/>
          <w:strike w:val="0"/>
          <w:color w:val="000000"/>
          <w:sz w:val="20"/>
        </w:rPr>
        <w:t xml:space="preserve">[28] AUTOSAR (2015). Software Component Template. AUTOSAR; Document ID 062; Classic Platform Release 4.2.2; 31 July 2015. </w:t>
      </w:r>
      <w:hyperlink r:id="rId42">
        <w:r>
          <w:rPr>
            <w:rFonts w:ascii="Times New Roman" w:hAnsi="Times New Roman" w:eastAsia="宋体"/>
            <w:color w:val="000000"/>
            <w:sz w:val="20"/>
            <w:u w:val="none"/>
          </w:rPr>
          <w:t>https://www.autosar.org/fileadmin/standards/R4.2.2/CP/AUTOSAR_TPS_SoftwareComponentTemplate.pdf</w:t>
        </w:r>
      </w:hyperlink>
    </w:p>
    <w:p>
      <w:pPr>
        <w:keepLines/>
        <w:spacing w:line="269" w:lineRule="auto" w:after="100"/>
        <w:ind w:left="320" w:hanging="320"/>
        <w:jc w:val="left"/>
      </w:pPr>
      <w:r>
        <w:rPr>
          <w:rFonts w:ascii="Times New Roman" w:hAnsi="Times New Roman" w:eastAsia="宋体"/>
          <w:b w:val="0"/>
          <w:strike w:val="0"/>
          <w:color w:val="000000"/>
          <w:sz w:val="20"/>
        </w:rPr>
        <w:t xml:space="preserve">[29] AUTOSAR (2015). Specification of RTE. AUTOSAR; Document ID 084; Release 4.2.2; 31 July 2015. </w:t>
      </w:r>
      <w:hyperlink r:id="rId49">
        <w:r>
          <w:rPr>
            <w:rFonts w:ascii="Times New Roman" w:hAnsi="Times New Roman" w:eastAsia="宋体"/>
            <w:color w:val="000000"/>
            <w:sz w:val="20"/>
            <w:u w:val="none"/>
          </w:rPr>
          <w:t>https://www.autosar.org/fileadmin/standards/R4.2.2/CP/AUTOSAR_SWS_RTE.pdf</w:t>
        </w:r>
      </w:hyperlink>
    </w:p>
    <w:p>
      <w:pPr>
        <w:keepLines/>
        <w:spacing w:line="269" w:lineRule="auto" w:after="100"/>
        <w:ind w:left="320" w:hanging="320"/>
        <w:jc w:val="left"/>
      </w:pPr>
      <w:r>
        <w:rPr>
          <w:rFonts w:ascii="Times New Roman" w:hAnsi="Times New Roman" w:eastAsia="宋体"/>
          <w:b w:val="0"/>
          <w:strike w:val="0"/>
          <w:color w:val="000000"/>
          <w:sz w:val="20"/>
        </w:rPr>
        <w:t xml:space="preserve">[30] Kwon, Woosuk; Li, Zhuohan; Zhuang, Siyuan; Sheng, Ying; Zheng, Lianmin; Yu, Cody Hao; Gonzalez, Joseph E.; Zhang, Hao; Stoica, Ion (2023). Efficient Memory Management for Large Language Model Serving with PagedAttention. Proceedings of the ACM SIGOPS 29th Symposium on Operating Systems Principles. </w:t>
      </w:r>
      <w:hyperlink r:id="rId50">
        <w:r>
          <w:rPr>
            <w:rFonts w:ascii="Times New Roman" w:hAnsi="Times New Roman" w:eastAsia="宋体"/>
            <w:color w:val="000000"/>
            <w:sz w:val="20"/>
            <w:u w:val="none"/>
          </w:rPr>
          <w:t>https://doi.org/10.1145/3600006.3613165</w:t>
        </w:r>
      </w:hyperlink>
    </w:p>
    <w:p>
      <w:pPr>
        <w:keepLines/>
        <w:spacing w:line="269" w:lineRule="auto" w:after="100"/>
        <w:ind w:left="320" w:hanging="320"/>
        <w:jc w:val="left"/>
      </w:pPr>
      <w:r>
        <w:rPr>
          <w:rFonts w:ascii="Times New Roman" w:hAnsi="Times New Roman" w:eastAsia="宋体"/>
          <w:b w:val="0"/>
          <w:strike w:val="0"/>
          <w:color w:val="000000"/>
          <w:sz w:val="20"/>
        </w:rPr>
        <w:t xml:space="preserve">[31] Szárnyas, Gábor; Izsó, Benedek; Ráth, István; Varró, Dániel (2018). The Train Benchmark: cross-technology performance evaluation of continuous model queries. Software and Systems Modeling, 17, 1365–1393. </w:t>
      </w:r>
      <w:hyperlink r:id="rId43">
        <w:r>
          <w:rPr>
            <w:rFonts w:ascii="Times New Roman" w:hAnsi="Times New Roman" w:eastAsia="宋体"/>
            <w:color w:val="000000"/>
            <w:sz w:val="20"/>
            <w:u w:val="none"/>
          </w:rPr>
          <w:t>https://doi.org/10.1007/s10270-016-0571-8</w:t>
        </w:r>
      </w:hyperlink>
    </w:p>
    <w:p>
      <w:pPr>
        <w:keepLines/>
        <w:spacing w:line="269" w:lineRule="auto" w:after="100"/>
        <w:ind w:left="320" w:hanging="320"/>
        <w:jc w:val="left"/>
      </w:pPr>
      <w:r>
        <w:rPr>
          <w:rFonts w:ascii="Times New Roman" w:hAnsi="Times New Roman" w:eastAsia="宋体"/>
          <w:b w:val="0"/>
          <w:strike w:val="0"/>
          <w:color w:val="000000"/>
          <w:sz w:val="20"/>
        </w:rPr>
        <w:t xml:space="preserve">[32] European Parliament; Council of the European Union (2012). Regulation (EU) No 1215/2012 of the European Parliament and of the Council of 12 December 2012 on jurisdiction and the recognition and enforcement of judgments in civil and commercial matters (recast). Official Journal of the European Union, L 351, 20 December 2012, pp. 1–32; Consolidated text of 26 February 2015. </w:t>
      </w:r>
      <w:hyperlink r:id="rId44">
        <w:r>
          <w:rPr>
            <w:rFonts w:ascii="Times New Roman" w:hAnsi="Times New Roman" w:eastAsia="宋体"/>
            <w:color w:val="000000"/>
            <w:sz w:val="20"/>
            <w:u w:val="none"/>
          </w:rPr>
          <w:t>https://eur-lex.europa.eu/eli/reg/2012/1215/2015-02-26/eng</w:t>
        </w:r>
      </w:hyperlink>
    </w:p>
    <w:p>
      <w:pPr>
        <w:keepLines/>
        <w:spacing w:line="269" w:lineRule="auto" w:after="100"/>
        <w:ind w:left="320" w:hanging="320"/>
        <w:jc w:val="left"/>
      </w:pPr>
      <w:r>
        <w:rPr>
          <w:rFonts w:ascii="Times New Roman" w:hAnsi="Times New Roman" w:eastAsia="宋体"/>
          <w:b w:val="0"/>
          <w:strike w:val="0"/>
          <w:color w:val="000000"/>
          <w:sz w:val="20"/>
        </w:rPr>
        <w:t xml:space="preserve">[33] European Parliament; Council of the European Union (2017). Regulation (EU) 2017/1001 of the European Parliament and of the Council of 14 June 2017 on the European Union trade mark (codification) (Text with EEA relevance). Official Journal of the European Union, L 154, 16 June 2017, pp. 1–99; Consolidated text of 1 December 2025. </w:t>
      </w:r>
      <w:hyperlink r:id="rId45">
        <w:r>
          <w:rPr>
            <w:rFonts w:ascii="Times New Roman" w:hAnsi="Times New Roman" w:eastAsia="宋体"/>
            <w:color w:val="000000"/>
            <w:sz w:val="20"/>
            <w:u w:val="none"/>
          </w:rPr>
          <w:t>https://eur-lex.europa.eu/eli/reg/2017/1001/2025-12-01/eng</w:t>
        </w:r>
      </w:hyperlink>
    </w:p>
    <w:sectPr w:rsidR="00FC693F" w:rsidRPr="0006063C" w:rsidSect="00034616">
      <w:footerReference w:type="default" r:id="rId9"/>
      <w:pgSz w:w="12240" w:h="15840"/>
      <w:pgMar w:top="1008" w:right="1188" w:bottom="1008" w:left="118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00"/>
      <w:ind w:firstLine="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ind w:firstLine="0"/>
      <w:outlineLvl w:val="1"/>
    </w:pPr>
    <w:rPr>
      <w:rFonts w:asciiTheme="majorHAnsi" w:eastAsiaTheme="majorEastAsia" w:hAnsiTheme="majorHAnsi" w:cstheme="majorBidi" w:ascii="Times New Roman" w:hAnsi="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ind w:firstLine="0"/>
      <w:outlineLvl w:val="2"/>
    </w:pPr>
    <w:rPr>
      <w:rFonts w:asciiTheme="majorHAnsi" w:eastAsiaTheme="majorEastAsia" w:hAnsiTheme="majorHAnsi" w:cstheme="majorBidi" w:ascii="Times New Roman" w:hAnsi="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00" w:line="240" w:lineRule="auto" w:before="200"/>
      <w:ind w:firstLine="0"/>
      <w:contextualSpacing/>
    </w:pPr>
    <w:rPr>
      <w:rFonts w:asciiTheme="majorHAnsi" w:eastAsiaTheme="majorEastAsia" w:hAnsiTheme="majorHAnsi" w:cstheme="majorBidi" w:ascii="Times New Roman" w:hAnsi="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after="140"/>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07/s10270-018-0665-6" TargetMode="External"/><Relationship Id="rId11" Type="http://schemas.openxmlformats.org/officeDocument/2006/relationships/hyperlink" Target="https://doi.org/10.1007/s10270-025-01263-8" TargetMode="External"/><Relationship Id="rId12" Type="http://schemas.openxmlformats.org/officeDocument/2006/relationships/hyperlink" Target="https://openreview.net/forum?id=KmtVD97J43e" TargetMode="External"/><Relationship Id="rId13" Type="http://schemas.openxmlformats.org/officeDocument/2006/relationships/hyperlink" Target="https://doi.org/10.1109/MODELS67397.2025.00018" TargetMode="External"/><Relationship Id="rId14" Type="http://schemas.openxmlformats.org/officeDocument/2006/relationships/hyperlink" Target="https://doi.org/10.5381/jot.2026.25.3.a8" TargetMode="External"/><Relationship Id="rId15" Type="http://schemas.openxmlformats.org/officeDocument/2006/relationships/hyperlink" Target="https://www.omg.org/spec/OCL/2.4" TargetMode="External"/><Relationship Id="rId16" Type="http://schemas.openxmlformats.org/officeDocument/2006/relationships/hyperlink" Target="https://www.omg.org/spec/XMI/2.5.1" TargetMode="External"/><Relationship Id="rId17" Type="http://schemas.openxmlformats.org/officeDocument/2006/relationships/hyperlink" Target="https://doi.org/10.1109/ACCESS.2025.3614174" TargetMode="External"/><Relationship Id="rId18" Type="http://schemas.openxmlformats.org/officeDocument/2006/relationships/hyperlink" Target="https://doi.org/10.1145/3180155.3180186" TargetMode="External"/><Relationship Id="rId19" Type="http://schemas.openxmlformats.org/officeDocument/2006/relationships/hyperlink" Target="https://doi.org/10.1007/978-3-031-85356-2_8" TargetMode="External"/><Relationship Id="rId20" Type="http://schemas.openxmlformats.org/officeDocument/2006/relationships/hyperlink" Target="https://doi.org/10.48550/arXiv.2404.05508" TargetMode="External"/><Relationship Id="rId21" Type="http://schemas.openxmlformats.org/officeDocument/2006/relationships/hyperlink" Target="https://doi.org/10.1145/3650105.3652290" TargetMode="External"/><Relationship Id="rId22" Type="http://schemas.openxmlformats.org/officeDocument/2006/relationships/hyperlink" Target="https://doi.org/10.1007/s10270-009-0145-0" TargetMode="External"/><Relationship Id="rId23" Type="http://schemas.openxmlformats.org/officeDocument/2006/relationships/hyperlink" Target="https://doi.org/10.18653/v1/2023.emnlp-main.674" TargetMode="External"/><Relationship Id="rId24" Type="http://schemas.openxmlformats.org/officeDocument/2006/relationships/hyperlink" Target="https://proceedings.mlsys.org/paper_files/paper/2025/hash/5c20ca4b0b20b0bd2f1d839dc605e70f-Abstract-Conference.html" TargetMode="External"/><Relationship Id="rId25" Type="http://schemas.openxmlformats.org/officeDocument/2006/relationships/hyperlink" Target="https://doi.org/10.1145/3803437.3805571" TargetMode="External"/><Relationship Id="rId26" Type="http://schemas.openxmlformats.org/officeDocument/2006/relationships/hyperlink" Target="https://doi.org/10.52202/079017-0774" TargetMode="External"/><Relationship Id="rId27" Type="http://schemas.openxmlformats.org/officeDocument/2006/relationships/hyperlink" Target="https://doi.org/10.1007/s10270-022-00996-0" TargetMode="External"/><Relationship Id="rId28" Type="http://schemas.openxmlformats.org/officeDocument/2006/relationships/hyperlink" Target="https://doi.org/10.52202/075280-2019" TargetMode="External"/><Relationship Id="rId29" Type="http://schemas.openxmlformats.org/officeDocument/2006/relationships/hyperlink" Target="https://doi.org/10.1109/ICSE55347.2025.00129" TargetMode="External"/><Relationship Id="rId35" Type="http://schemas.openxmlformats.org/officeDocument/2006/relationships/hyperlink" Target="https://doi.org/10.1007/s10270-024-01218-5" TargetMode="External"/><Relationship Id="rId36" Type="http://schemas.openxmlformats.org/officeDocument/2006/relationships/hyperlink" Target="https://json-schema.org/draft/2020-12/json-schema-validation" TargetMode="External"/><Relationship Id="rId37" Type="http://schemas.openxmlformats.org/officeDocument/2006/relationships/hyperlink" Target="https://doi.org/10.1145/3786335.3813124" TargetMode="External"/><Relationship Id="rId38" Type="http://schemas.openxmlformats.org/officeDocument/2006/relationships/hyperlink" Target="https://www.w3.org/TR/2004/REC-xmlschema-1-20041028/" TargetMode="External"/><Relationship Id="rId42" Type="http://schemas.openxmlformats.org/officeDocument/2006/relationships/hyperlink" Target="https://www.autosar.org/fileadmin/standards/R4.2.2/CP/AUTOSAR_TPS_SoftwareComponentTemplate.pdf" TargetMode="External"/><Relationship Id="rId43" Type="http://schemas.openxmlformats.org/officeDocument/2006/relationships/hyperlink" Target="https://doi.org/10.1007/s10270-016-0571-8" TargetMode="External"/><Relationship Id="rId44" Type="http://schemas.openxmlformats.org/officeDocument/2006/relationships/hyperlink" Target="https://eur-lex.europa.eu/eli/reg/2012/1215/2015-02-26/eng" TargetMode="External"/><Relationship Id="rId45" Type="http://schemas.openxmlformats.org/officeDocument/2006/relationships/hyperlink" Target="https://eur-lex.europa.eu/eli/reg/2017/1001/2025-12-01/eng" TargetMode="External"/><Relationship Id="rId30" Type="http://schemas.openxmlformats.org/officeDocument/2006/relationships/hyperlink" Target="https://doi.org/10.1109/RTSI61910.2024.10761393" TargetMode="External"/><Relationship Id="rId31" Type="http://schemas.openxmlformats.org/officeDocument/2006/relationships/hyperlink" Target="https://doi.org/10.3390/app16178443" TargetMode="External"/><Relationship Id="rId32" Type="http://schemas.openxmlformats.org/officeDocument/2006/relationships/hyperlink" Target="https://papers.nips.cc/paper/2020/hash/6b493230205f780e1bc26945df7481e5-Abstract.html" TargetMode="External"/><Relationship Id="rId49" Type="http://schemas.openxmlformats.org/officeDocument/2006/relationships/hyperlink" Target="https://www.autosar.org/fileadmin/standards/R4.2.2/CP/AUTOSAR_SWS_RTE.pdf" TargetMode="External"/><Relationship Id="rId50" Type="http://schemas.openxmlformats.org/officeDocument/2006/relationships/hyperlink" Target="https://doi.org/10.1145/3600006.36131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附录修改稿</dc:title>
  <dc:subject>中文论文修改审阅</dc:subject>
  <dc:creator/>
  <cp:keywords/>
  <dc:description/>
  <cp:lastModifiedBy/>
  <cp:revision>1</cp:revision>
  <dcterms:created xsi:type="dcterms:W3CDTF">2013-12-23T23:15:00Z</dcterms:created>
  <dcterms:modified xsi:type="dcterms:W3CDTF">2013-12-23T23:15:00Z</dcterms:modified>
  <cp:category/>
</cp:coreProperties>
</file>