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16ACD2" w14:textId="77777777" w:rsidR="00991122" w:rsidRDefault="005632AB">
      <w:pPr>
        <w:rPr>
          <w:rFonts w:ascii="Arial" w:hAnsi="Arial" w:cs="Arial"/>
          <w:sz w:val="32"/>
          <w:szCs w:val="32"/>
        </w:rPr>
      </w:pPr>
      <w:r w:rsidRPr="00A14AB2">
        <w:rPr>
          <w:rFonts w:ascii="Arial" w:hAnsi="Arial" w:cs="Arial"/>
          <w:sz w:val="32"/>
          <w:szCs w:val="32"/>
        </w:rPr>
        <w:t>Ecological Economics</w:t>
      </w:r>
    </w:p>
    <w:p w14:paraId="225C714F" w14:textId="28E4D293" w:rsidR="0027677C" w:rsidRDefault="0027677C">
      <w:pPr>
        <w:rPr>
          <w:rFonts w:ascii="Arial" w:hAnsi="Arial" w:cs="Arial" w:hint="eastAsia"/>
          <w:sz w:val="32"/>
          <w:szCs w:val="32"/>
        </w:rPr>
      </w:pPr>
      <w:r w:rsidRPr="0027677C">
        <w:rPr>
          <w:rFonts w:ascii="Arial" w:hAnsi="Arial" w:cs="Arial"/>
          <w:sz w:val="32"/>
          <w:szCs w:val="32"/>
        </w:rPr>
        <w:t>Fioramonti</w:t>
      </w:r>
      <w:r w:rsidR="00305C99">
        <w:rPr>
          <w:rFonts w:ascii="Arial" w:hAnsi="Arial" w:cs="Arial" w:hint="eastAsia"/>
          <w:sz w:val="32"/>
          <w:szCs w:val="32"/>
        </w:rPr>
        <w:t xml:space="preserve">: </w:t>
      </w:r>
      <w:r w:rsidR="00305C99" w:rsidRPr="00305C99">
        <w:rPr>
          <w:rFonts w:ascii="Arial" w:hAnsi="Arial" w:cs="Arial"/>
          <w:sz w:val="32"/>
          <w:szCs w:val="32"/>
        </w:rPr>
        <w:t>Wellbeing economy</w:t>
      </w:r>
    </w:p>
    <w:p w14:paraId="7271B48D" w14:textId="77777777" w:rsidR="004C321D" w:rsidRPr="004C321D" w:rsidRDefault="004C321D" w:rsidP="004C321D">
      <w:pPr>
        <w:rPr>
          <w:rFonts w:ascii="Arial" w:hAnsi="Arial" w:cs="Arial"/>
          <w:b/>
          <w:bCs/>
          <w:sz w:val="21"/>
          <w:szCs w:val="21"/>
        </w:rPr>
      </w:pPr>
      <w:r w:rsidRPr="004C321D">
        <w:rPr>
          <w:rFonts w:ascii="Arial" w:hAnsi="Arial" w:cs="Arial"/>
          <w:b/>
          <w:bCs/>
          <w:sz w:val="21"/>
          <w:szCs w:val="21"/>
        </w:rPr>
        <w:t>中文深入解读（按原文顺序）</w:t>
      </w:r>
    </w:p>
    <w:p w14:paraId="0F287B63" w14:textId="77777777" w:rsidR="004C321D" w:rsidRPr="004C321D" w:rsidRDefault="004C321D" w:rsidP="004C321D">
      <w:pPr>
        <w:numPr>
          <w:ilvl w:val="0"/>
          <w:numId w:val="1"/>
        </w:numPr>
        <w:rPr>
          <w:rFonts w:ascii="Arial" w:hAnsi="Arial" w:cs="Arial"/>
          <w:sz w:val="21"/>
          <w:szCs w:val="21"/>
        </w:rPr>
      </w:pPr>
      <w:r w:rsidRPr="004C321D">
        <w:rPr>
          <w:rFonts w:ascii="Arial" w:hAnsi="Arial" w:cs="Arial"/>
          <w:b/>
          <w:bCs/>
          <w:sz w:val="21"/>
          <w:szCs w:val="21"/>
        </w:rPr>
        <w:t>引言与研究动机</w:t>
      </w:r>
      <w:r w:rsidRPr="004C321D">
        <w:rPr>
          <w:rFonts w:ascii="Arial" w:hAnsi="Arial" w:cs="Arial"/>
          <w:sz w:val="21"/>
          <w:szCs w:val="21"/>
        </w:rPr>
        <w:br/>
      </w:r>
      <w:r w:rsidRPr="004C321D">
        <w:rPr>
          <w:rFonts w:ascii="Arial" w:hAnsi="Arial" w:cs="Arial"/>
          <w:sz w:val="21"/>
          <w:szCs w:val="21"/>
        </w:rPr>
        <w:t>文章首先指出，面对气候变化、生态退化和社会不平等，单纯依赖</w:t>
      </w:r>
      <w:r w:rsidRPr="004C321D">
        <w:rPr>
          <w:rFonts w:ascii="Arial" w:hAnsi="Arial" w:cs="Arial"/>
          <w:sz w:val="21"/>
          <w:szCs w:val="21"/>
        </w:rPr>
        <w:t>GDP</w:t>
      </w:r>
      <w:r w:rsidRPr="004C321D">
        <w:rPr>
          <w:rFonts w:ascii="Arial" w:hAnsi="Arial" w:cs="Arial"/>
          <w:sz w:val="21"/>
          <w:szCs w:val="21"/>
        </w:rPr>
        <w:t>增长的传统经济范式已经难以应对。全球需要一个能够在生态约束下保障人类福祉的新框架，作者提出</w:t>
      </w:r>
      <w:r w:rsidRPr="004C321D">
        <w:rPr>
          <w:rFonts w:ascii="Arial" w:hAnsi="Arial" w:cs="Arial"/>
          <w:sz w:val="21"/>
          <w:szCs w:val="21"/>
        </w:rPr>
        <w:t>“</w:t>
      </w:r>
      <w:r w:rsidRPr="004C321D">
        <w:rPr>
          <w:rFonts w:ascii="Arial" w:hAnsi="Arial" w:cs="Arial"/>
          <w:sz w:val="21"/>
          <w:szCs w:val="21"/>
        </w:rPr>
        <w:t>福祉经济</w:t>
      </w:r>
      <w:r w:rsidRPr="004C321D">
        <w:rPr>
          <w:rFonts w:ascii="Arial" w:hAnsi="Arial" w:cs="Arial"/>
          <w:sz w:val="21"/>
          <w:szCs w:val="21"/>
        </w:rPr>
        <w:t>”</w:t>
      </w:r>
      <w:r w:rsidRPr="004C321D">
        <w:rPr>
          <w:rFonts w:ascii="Arial" w:hAnsi="Arial" w:cs="Arial"/>
          <w:sz w:val="21"/>
          <w:szCs w:val="21"/>
        </w:rPr>
        <w:t>（</w:t>
      </w:r>
      <w:r w:rsidRPr="004C321D">
        <w:rPr>
          <w:rFonts w:ascii="Arial" w:hAnsi="Arial" w:cs="Arial"/>
          <w:sz w:val="21"/>
          <w:szCs w:val="21"/>
        </w:rPr>
        <w:t>Wellbeing Economy, WE</w:t>
      </w:r>
      <w:r w:rsidRPr="004C321D">
        <w:rPr>
          <w:rFonts w:ascii="Arial" w:hAnsi="Arial" w:cs="Arial"/>
          <w:sz w:val="21"/>
          <w:szCs w:val="21"/>
        </w:rPr>
        <w:t>）作为潜在答案。</w:t>
      </w:r>
    </w:p>
    <w:p w14:paraId="1F1249AD" w14:textId="77777777" w:rsidR="004C321D" w:rsidRPr="004C321D" w:rsidRDefault="004C321D" w:rsidP="004C321D">
      <w:pPr>
        <w:numPr>
          <w:ilvl w:val="0"/>
          <w:numId w:val="1"/>
        </w:numPr>
        <w:rPr>
          <w:rFonts w:ascii="Arial" w:hAnsi="Arial" w:cs="Arial"/>
          <w:sz w:val="21"/>
          <w:szCs w:val="21"/>
        </w:rPr>
      </w:pPr>
      <w:r w:rsidRPr="004C321D">
        <w:rPr>
          <w:rFonts w:ascii="Arial" w:hAnsi="Arial" w:cs="Arial"/>
          <w:b/>
          <w:bCs/>
          <w:sz w:val="21"/>
          <w:szCs w:val="21"/>
        </w:rPr>
        <w:t>福祉经济的定义与特点</w:t>
      </w:r>
      <w:r w:rsidRPr="004C321D">
        <w:rPr>
          <w:rFonts w:ascii="Arial" w:hAnsi="Arial" w:cs="Arial"/>
          <w:sz w:val="21"/>
          <w:szCs w:val="21"/>
        </w:rPr>
        <w:br/>
      </w:r>
      <w:r w:rsidRPr="004C321D">
        <w:rPr>
          <w:rFonts w:ascii="Arial" w:hAnsi="Arial" w:cs="Arial"/>
          <w:sz w:val="21"/>
          <w:szCs w:val="21"/>
        </w:rPr>
        <w:t>福祉经济并不以经济增长为主要目标，而是关注</w:t>
      </w:r>
      <w:r w:rsidRPr="004C321D">
        <w:rPr>
          <w:rFonts w:ascii="Arial" w:hAnsi="Arial" w:cs="Arial"/>
          <w:b/>
          <w:bCs/>
          <w:sz w:val="21"/>
          <w:szCs w:val="21"/>
        </w:rPr>
        <w:t>人类生活质量、自然资本健康、社会凝聚力和公平性</w:t>
      </w:r>
      <w:r w:rsidRPr="004C321D">
        <w:rPr>
          <w:rFonts w:ascii="Arial" w:hAnsi="Arial" w:cs="Arial"/>
          <w:sz w:val="21"/>
          <w:szCs w:val="21"/>
        </w:rPr>
        <w:t>。它强调</w:t>
      </w:r>
      <w:r w:rsidRPr="004C321D">
        <w:rPr>
          <w:rFonts w:ascii="Arial" w:hAnsi="Arial" w:cs="Arial"/>
          <w:b/>
          <w:bCs/>
          <w:sz w:val="21"/>
          <w:szCs w:val="21"/>
        </w:rPr>
        <w:t>多维度指标</w:t>
      </w:r>
      <w:r w:rsidRPr="004C321D">
        <w:rPr>
          <w:rFonts w:ascii="Arial" w:hAnsi="Arial" w:cs="Arial"/>
          <w:sz w:val="21"/>
          <w:szCs w:val="21"/>
        </w:rPr>
        <w:t>，例如教育、健康、环境质量和社会信任，而不是单一的产出指标。</w:t>
      </w:r>
    </w:p>
    <w:p w14:paraId="1BA13AFB" w14:textId="77777777" w:rsidR="004C321D" w:rsidRPr="004C321D" w:rsidRDefault="004C321D" w:rsidP="004C321D">
      <w:pPr>
        <w:numPr>
          <w:ilvl w:val="0"/>
          <w:numId w:val="1"/>
        </w:numPr>
        <w:rPr>
          <w:rFonts w:ascii="Arial" w:hAnsi="Arial" w:cs="Arial"/>
          <w:sz w:val="21"/>
          <w:szCs w:val="21"/>
        </w:rPr>
      </w:pPr>
      <w:r w:rsidRPr="004C321D">
        <w:rPr>
          <w:rFonts w:ascii="Arial" w:hAnsi="Arial" w:cs="Arial"/>
          <w:b/>
          <w:bCs/>
          <w:sz w:val="21"/>
          <w:szCs w:val="21"/>
        </w:rPr>
        <w:t>与去增长（</w:t>
      </w:r>
      <w:r w:rsidRPr="004C321D">
        <w:rPr>
          <w:rFonts w:ascii="Arial" w:hAnsi="Arial" w:cs="Arial"/>
          <w:b/>
          <w:bCs/>
          <w:sz w:val="21"/>
          <w:szCs w:val="21"/>
        </w:rPr>
        <w:t>Degrowth</w:t>
      </w:r>
      <w:r w:rsidRPr="004C321D">
        <w:rPr>
          <w:rFonts w:ascii="Arial" w:hAnsi="Arial" w:cs="Arial"/>
          <w:b/>
          <w:bCs/>
          <w:sz w:val="21"/>
          <w:szCs w:val="21"/>
        </w:rPr>
        <w:t>）的比较</w:t>
      </w:r>
      <w:r w:rsidRPr="004C321D">
        <w:rPr>
          <w:rFonts w:ascii="Arial" w:hAnsi="Arial" w:cs="Arial"/>
          <w:sz w:val="21"/>
          <w:szCs w:val="21"/>
        </w:rPr>
        <w:br/>
      </w:r>
      <w:r w:rsidRPr="004C321D">
        <w:rPr>
          <w:rFonts w:ascii="Arial" w:hAnsi="Arial" w:cs="Arial"/>
          <w:sz w:val="21"/>
          <w:szCs w:val="21"/>
        </w:rPr>
        <w:t>虽然两者都强调减少不可持续的资源消耗，但福祉经济</w:t>
      </w:r>
      <w:r w:rsidRPr="004C321D">
        <w:rPr>
          <w:rFonts w:ascii="Arial" w:hAnsi="Arial" w:cs="Arial"/>
          <w:b/>
          <w:bCs/>
          <w:sz w:val="21"/>
          <w:szCs w:val="21"/>
        </w:rPr>
        <w:t>叙事更积极</w:t>
      </w:r>
      <w:r w:rsidRPr="004C321D">
        <w:rPr>
          <w:rFonts w:ascii="Arial" w:hAnsi="Arial" w:cs="Arial"/>
          <w:sz w:val="21"/>
          <w:szCs w:val="21"/>
        </w:rPr>
        <w:t>，更容易被政策制定者和公众接受。</w:t>
      </w:r>
      <w:proofErr w:type="gramStart"/>
      <w:r w:rsidRPr="004C321D">
        <w:rPr>
          <w:rFonts w:ascii="Arial" w:hAnsi="Arial" w:cs="Arial"/>
          <w:sz w:val="21"/>
          <w:szCs w:val="21"/>
        </w:rPr>
        <w:t>去增长</w:t>
      </w:r>
      <w:proofErr w:type="gramEnd"/>
      <w:r w:rsidRPr="004C321D">
        <w:rPr>
          <w:rFonts w:ascii="Arial" w:hAnsi="Arial" w:cs="Arial"/>
          <w:sz w:val="21"/>
          <w:szCs w:val="21"/>
        </w:rPr>
        <w:t>在公众语境中常被误解为</w:t>
      </w:r>
      <w:r w:rsidRPr="004C321D">
        <w:rPr>
          <w:rFonts w:ascii="Arial" w:hAnsi="Arial" w:cs="Arial"/>
          <w:sz w:val="21"/>
          <w:szCs w:val="21"/>
        </w:rPr>
        <w:t>“</w:t>
      </w:r>
      <w:r w:rsidRPr="004C321D">
        <w:rPr>
          <w:rFonts w:ascii="Arial" w:hAnsi="Arial" w:cs="Arial"/>
          <w:sz w:val="21"/>
          <w:szCs w:val="21"/>
        </w:rPr>
        <w:t>经济收缩</w:t>
      </w:r>
      <w:r w:rsidRPr="004C321D">
        <w:rPr>
          <w:rFonts w:ascii="Arial" w:hAnsi="Arial" w:cs="Arial"/>
          <w:sz w:val="21"/>
          <w:szCs w:val="21"/>
        </w:rPr>
        <w:t>”</w:t>
      </w:r>
      <w:r w:rsidRPr="004C321D">
        <w:rPr>
          <w:rFonts w:ascii="Arial" w:hAnsi="Arial" w:cs="Arial"/>
          <w:sz w:val="21"/>
          <w:szCs w:val="21"/>
        </w:rPr>
        <w:t>，而福祉经济强调的是</w:t>
      </w:r>
      <w:r w:rsidRPr="004C321D">
        <w:rPr>
          <w:rFonts w:ascii="Arial" w:hAnsi="Arial" w:cs="Arial"/>
          <w:sz w:val="21"/>
          <w:szCs w:val="21"/>
        </w:rPr>
        <w:t>“</w:t>
      </w:r>
      <w:r w:rsidRPr="004C321D">
        <w:rPr>
          <w:rFonts w:ascii="Arial" w:hAnsi="Arial" w:cs="Arial"/>
          <w:sz w:val="21"/>
          <w:szCs w:val="21"/>
        </w:rPr>
        <w:t>优化分配与改善生活质量</w:t>
      </w:r>
      <w:r w:rsidRPr="004C321D">
        <w:rPr>
          <w:rFonts w:ascii="Arial" w:hAnsi="Arial" w:cs="Arial"/>
          <w:sz w:val="21"/>
          <w:szCs w:val="21"/>
        </w:rPr>
        <w:t>”</w:t>
      </w:r>
      <w:r w:rsidRPr="004C321D">
        <w:rPr>
          <w:rFonts w:ascii="Arial" w:hAnsi="Arial" w:cs="Arial"/>
          <w:sz w:val="21"/>
          <w:szCs w:val="21"/>
        </w:rPr>
        <w:t>。</w:t>
      </w:r>
    </w:p>
    <w:p w14:paraId="13606D74" w14:textId="77777777" w:rsidR="004C321D" w:rsidRDefault="004C321D" w:rsidP="004C321D">
      <w:pPr>
        <w:numPr>
          <w:ilvl w:val="0"/>
          <w:numId w:val="1"/>
        </w:numPr>
        <w:rPr>
          <w:rFonts w:ascii="Arial" w:hAnsi="Arial" w:cs="Arial"/>
          <w:sz w:val="21"/>
          <w:szCs w:val="21"/>
        </w:rPr>
      </w:pPr>
      <w:r w:rsidRPr="004C321D">
        <w:rPr>
          <w:rFonts w:ascii="Arial" w:hAnsi="Arial" w:cs="Arial"/>
          <w:b/>
          <w:bCs/>
          <w:sz w:val="21"/>
          <w:szCs w:val="21"/>
        </w:rPr>
        <w:t>现有国际实践</w:t>
      </w:r>
      <w:r w:rsidRPr="004C321D">
        <w:rPr>
          <w:rFonts w:ascii="Arial" w:hAnsi="Arial" w:cs="Arial"/>
          <w:sz w:val="21"/>
          <w:szCs w:val="21"/>
        </w:rPr>
        <w:br/>
      </w:r>
      <w:r w:rsidRPr="004C321D">
        <w:rPr>
          <w:rFonts w:ascii="Arial" w:hAnsi="Arial" w:cs="Arial"/>
          <w:sz w:val="21"/>
          <w:szCs w:val="21"/>
        </w:rPr>
        <w:t>作者列举了新西兰的</w:t>
      </w:r>
      <w:r w:rsidRPr="004C321D">
        <w:rPr>
          <w:rFonts w:ascii="Arial" w:hAnsi="Arial" w:cs="Arial"/>
          <w:sz w:val="21"/>
          <w:szCs w:val="21"/>
        </w:rPr>
        <w:t>**“</w:t>
      </w:r>
      <w:r w:rsidRPr="004C321D">
        <w:rPr>
          <w:rFonts w:ascii="Arial" w:hAnsi="Arial" w:cs="Arial"/>
          <w:sz w:val="21"/>
          <w:szCs w:val="21"/>
        </w:rPr>
        <w:t>福祉预算</w:t>
      </w:r>
      <w:r w:rsidRPr="004C321D">
        <w:rPr>
          <w:rFonts w:ascii="Arial" w:hAnsi="Arial" w:cs="Arial"/>
          <w:sz w:val="21"/>
          <w:szCs w:val="21"/>
        </w:rPr>
        <w:t>”</w:t>
      </w:r>
      <w:r w:rsidRPr="004C321D">
        <w:rPr>
          <w:rFonts w:ascii="Arial" w:hAnsi="Arial" w:cs="Arial"/>
          <w:b/>
          <w:bCs/>
          <w:sz w:val="21"/>
          <w:szCs w:val="21"/>
        </w:rPr>
        <w:t>、冰岛的</w:t>
      </w:r>
      <w:r w:rsidRPr="004C321D">
        <w:rPr>
          <w:rFonts w:ascii="Arial" w:hAnsi="Arial" w:cs="Arial"/>
          <w:sz w:val="21"/>
          <w:szCs w:val="21"/>
        </w:rPr>
        <w:t>福祉指标体系</w:t>
      </w:r>
      <w:r w:rsidRPr="004C321D">
        <w:rPr>
          <w:rFonts w:ascii="Arial" w:hAnsi="Arial" w:cs="Arial"/>
          <w:sz w:val="21"/>
          <w:szCs w:val="21"/>
        </w:rPr>
        <w:t>**</w:t>
      </w:r>
      <w:r w:rsidRPr="004C321D">
        <w:rPr>
          <w:rFonts w:ascii="Arial" w:hAnsi="Arial" w:cs="Arial"/>
          <w:sz w:val="21"/>
          <w:szCs w:val="21"/>
        </w:rPr>
        <w:t>、以及</w:t>
      </w:r>
      <w:r w:rsidRPr="004C321D">
        <w:rPr>
          <w:rFonts w:ascii="Arial" w:hAnsi="Arial" w:cs="Arial"/>
          <w:sz w:val="21"/>
          <w:szCs w:val="21"/>
        </w:rPr>
        <w:t>WEGo</w:t>
      </w:r>
      <w:r w:rsidRPr="004C321D">
        <w:rPr>
          <w:rFonts w:ascii="Arial" w:hAnsi="Arial" w:cs="Arial"/>
          <w:sz w:val="21"/>
          <w:szCs w:val="21"/>
        </w:rPr>
        <w:t>（</w:t>
      </w:r>
      <w:r w:rsidRPr="004C321D">
        <w:rPr>
          <w:rFonts w:ascii="Arial" w:hAnsi="Arial" w:cs="Arial"/>
          <w:sz w:val="21"/>
          <w:szCs w:val="21"/>
        </w:rPr>
        <w:t>Wellbeing Economy Governments</w:t>
      </w:r>
      <w:r w:rsidRPr="004C321D">
        <w:rPr>
          <w:rFonts w:ascii="Arial" w:hAnsi="Arial" w:cs="Arial"/>
          <w:sz w:val="21"/>
          <w:szCs w:val="21"/>
        </w:rPr>
        <w:t>）网络，作为该理念已进入政策层面的证据。</w:t>
      </w:r>
    </w:p>
    <w:p w14:paraId="52BAE42B" w14:textId="1DED3463" w:rsidR="008F106C" w:rsidRPr="008F106C" w:rsidRDefault="008F106C" w:rsidP="008F106C">
      <w:pPr>
        <w:rPr>
          <w:rFonts w:ascii="Arial" w:hAnsi="Arial" w:cs="Arial"/>
          <w:sz w:val="21"/>
          <w:szCs w:val="21"/>
        </w:rPr>
      </w:pPr>
      <w:r w:rsidRPr="008F106C">
        <w:rPr>
          <w:rFonts w:ascii="Arial" w:hAnsi="Arial" w:cs="Arial" w:hint="eastAsia"/>
          <w:sz w:val="21"/>
          <w:szCs w:val="21"/>
        </w:rPr>
        <w:t>新西兰：自</w:t>
      </w:r>
      <w:r w:rsidRPr="008F106C">
        <w:rPr>
          <w:rFonts w:ascii="Arial" w:hAnsi="Arial" w:cs="Arial" w:hint="eastAsia"/>
          <w:sz w:val="21"/>
          <w:szCs w:val="21"/>
        </w:rPr>
        <w:t>2019</w:t>
      </w:r>
      <w:r w:rsidRPr="008F106C">
        <w:rPr>
          <w:rFonts w:ascii="Arial" w:hAnsi="Arial" w:cs="Arial" w:hint="eastAsia"/>
          <w:sz w:val="21"/>
          <w:szCs w:val="21"/>
        </w:rPr>
        <w:t>年起实施“福祉预算（</w:t>
      </w:r>
      <w:r w:rsidRPr="008F106C">
        <w:rPr>
          <w:rFonts w:ascii="Arial" w:hAnsi="Arial" w:cs="Arial" w:hint="eastAsia"/>
          <w:sz w:val="21"/>
          <w:szCs w:val="21"/>
        </w:rPr>
        <w:t>Wellbeing Budget</w:t>
      </w:r>
      <w:r w:rsidRPr="008F106C">
        <w:rPr>
          <w:rFonts w:ascii="Arial" w:hAnsi="Arial" w:cs="Arial" w:hint="eastAsia"/>
          <w:sz w:val="21"/>
          <w:szCs w:val="21"/>
        </w:rPr>
        <w:t>）”，将传统财政预算的支出优先级从单纯的经济增长目标，转向提升国民福祉的多维目标。预算编制依据涵盖健康、教育、环境质量、心理健康、收入分配等方面的综合指标，并明确每年在预算案中对这些领域进行专项投入。</w:t>
      </w:r>
    </w:p>
    <w:p w14:paraId="5953C38A" w14:textId="2FFF8126" w:rsidR="008F106C" w:rsidRPr="008F106C" w:rsidRDefault="008F106C" w:rsidP="008F106C">
      <w:pPr>
        <w:rPr>
          <w:rFonts w:ascii="Arial" w:hAnsi="Arial" w:cs="Arial"/>
          <w:sz w:val="21"/>
          <w:szCs w:val="21"/>
        </w:rPr>
      </w:pPr>
      <w:r w:rsidRPr="008F106C">
        <w:rPr>
          <w:rFonts w:ascii="Arial" w:hAnsi="Arial" w:cs="Arial" w:hint="eastAsia"/>
          <w:sz w:val="21"/>
          <w:szCs w:val="21"/>
        </w:rPr>
        <w:t>冰岛：建立了</w:t>
      </w:r>
      <w:r w:rsidRPr="008F106C">
        <w:rPr>
          <w:rFonts w:ascii="Arial" w:hAnsi="Arial" w:cs="Arial" w:hint="eastAsia"/>
          <w:sz w:val="21"/>
          <w:szCs w:val="21"/>
        </w:rPr>
        <w:t>39</w:t>
      </w:r>
      <w:r w:rsidRPr="008F106C">
        <w:rPr>
          <w:rFonts w:ascii="Arial" w:hAnsi="Arial" w:cs="Arial" w:hint="eastAsia"/>
          <w:sz w:val="21"/>
          <w:szCs w:val="21"/>
        </w:rPr>
        <w:t>项国家福祉指标体系，这些指标横跨经济、社会和环境三个维度，例如心理健康状况、社区参与度、空气与水质量、教育可及性等。政府通过定期发布指标报告来监测和指导政策调整。</w:t>
      </w:r>
    </w:p>
    <w:p w14:paraId="65C1AAA0" w14:textId="7D815E85" w:rsidR="008F106C" w:rsidRPr="004C321D" w:rsidRDefault="008F106C" w:rsidP="008F106C">
      <w:pPr>
        <w:rPr>
          <w:rFonts w:ascii="Arial" w:hAnsi="Arial" w:cs="Arial"/>
          <w:sz w:val="21"/>
          <w:szCs w:val="21"/>
        </w:rPr>
      </w:pPr>
      <w:r w:rsidRPr="008F106C">
        <w:rPr>
          <w:rFonts w:ascii="Arial" w:hAnsi="Arial" w:cs="Arial" w:hint="eastAsia"/>
          <w:sz w:val="21"/>
          <w:szCs w:val="21"/>
        </w:rPr>
        <w:t>WEGo</w:t>
      </w:r>
      <w:r w:rsidRPr="008F106C">
        <w:rPr>
          <w:rFonts w:ascii="Arial" w:hAnsi="Arial" w:cs="Arial" w:hint="eastAsia"/>
          <w:sz w:val="21"/>
          <w:szCs w:val="21"/>
        </w:rPr>
        <w:t>（</w:t>
      </w:r>
      <w:r w:rsidRPr="008F106C">
        <w:rPr>
          <w:rFonts w:ascii="Arial" w:hAnsi="Arial" w:cs="Arial" w:hint="eastAsia"/>
          <w:sz w:val="21"/>
          <w:szCs w:val="21"/>
        </w:rPr>
        <w:t>Wellbeing Economy Governments</w:t>
      </w:r>
      <w:r w:rsidRPr="008F106C">
        <w:rPr>
          <w:rFonts w:ascii="Arial" w:hAnsi="Arial" w:cs="Arial" w:hint="eastAsia"/>
          <w:sz w:val="21"/>
          <w:szCs w:val="21"/>
        </w:rPr>
        <w:t>）网络：由新西兰、冰岛、苏格兰发起，后续加入了威尔士、芬兰等国，旨在共享经验与政策工具，推动全球范围内将福祉经济理念融入政府决策。这一网络不仅定期举办高层会议，还开展跨国合作项目，探索如何将自然资本与社会资本纳入经济核算体系。</w:t>
      </w:r>
    </w:p>
    <w:p w14:paraId="7553AC71" w14:textId="77777777" w:rsidR="004C321D" w:rsidRPr="004C321D" w:rsidRDefault="004C321D" w:rsidP="004C321D">
      <w:pPr>
        <w:numPr>
          <w:ilvl w:val="0"/>
          <w:numId w:val="1"/>
        </w:numPr>
        <w:rPr>
          <w:rFonts w:ascii="Arial" w:hAnsi="Arial" w:cs="Arial"/>
          <w:sz w:val="21"/>
          <w:szCs w:val="21"/>
        </w:rPr>
      </w:pPr>
      <w:r w:rsidRPr="004C321D">
        <w:rPr>
          <w:rFonts w:ascii="Arial" w:hAnsi="Arial" w:cs="Arial"/>
          <w:b/>
          <w:bCs/>
          <w:sz w:val="21"/>
          <w:szCs w:val="21"/>
        </w:rPr>
        <w:t>度量工具：可持续福祉指数（</w:t>
      </w:r>
      <w:r w:rsidRPr="004C321D">
        <w:rPr>
          <w:rFonts w:ascii="Arial" w:hAnsi="Arial" w:cs="Arial"/>
          <w:b/>
          <w:bCs/>
          <w:sz w:val="21"/>
          <w:szCs w:val="21"/>
        </w:rPr>
        <w:t>SWI</w:t>
      </w:r>
      <w:r w:rsidRPr="004C321D">
        <w:rPr>
          <w:rFonts w:ascii="Arial" w:hAnsi="Arial" w:cs="Arial"/>
          <w:b/>
          <w:bCs/>
          <w:sz w:val="21"/>
          <w:szCs w:val="21"/>
        </w:rPr>
        <w:t>）</w:t>
      </w:r>
      <w:r w:rsidRPr="004C321D">
        <w:rPr>
          <w:rFonts w:ascii="Arial" w:hAnsi="Arial" w:cs="Arial"/>
          <w:sz w:val="21"/>
          <w:szCs w:val="21"/>
        </w:rPr>
        <w:br/>
        <w:t>SWI</w:t>
      </w:r>
      <w:r w:rsidRPr="004C321D">
        <w:rPr>
          <w:rFonts w:ascii="Arial" w:hAnsi="Arial" w:cs="Arial"/>
          <w:sz w:val="21"/>
          <w:szCs w:val="21"/>
        </w:rPr>
        <w:t>将</w:t>
      </w:r>
      <w:r w:rsidRPr="004C321D">
        <w:rPr>
          <w:rFonts w:ascii="Arial" w:hAnsi="Arial" w:cs="Arial"/>
          <w:b/>
          <w:bCs/>
          <w:sz w:val="21"/>
          <w:szCs w:val="21"/>
        </w:rPr>
        <w:t>经济净贡献（</w:t>
      </w:r>
      <w:r w:rsidRPr="004C321D">
        <w:rPr>
          <w:rFonts w:ascii="Arial" w:hAnsi="Arial" w:cs="Arial"/>
          <w:b/>
          <w:bCs/>
          <w:sz w:val="21"/>
          <w:szCs w:val="21"/>
        </w:rPr>
        <w:t>E</w:t>
      </w:r>
      <w:r w:rsidRPr="004C321D">
        <w:rPr>
          <w:rFonts w:ascii="Arial" w:hAnsi="Arial" w:cs="Arial"/>
          <w:b/>
          <w:bCs/>
          <w:sz w:val="21"/>
          <w:szCs w:val="21"/>
        </w:rPr>
        <w:t>）</w:t>
      </w:r>
      <w:r w:rsidRPr="004C321D">
        <w:rPr>
          <w:rFonts w:ascii="Arial" w:hAnsi="Arial" w:cs="Arial"/>
          <w:sz w:val="21"/>
          <w:szCs w:val="21"/>
        </w:rPr>
        <w:t>、</w:t>
      </w:r>
      <w:r w:rsidRPr="004C321D">
        <w:rPr>
          <w:rFonts w:ascii="Arial" w:hAnsi="Arial" w:cs="Arial"/>
          <w:sz w:val="21"/>
          <w:szCs w:val="21"/>
        </w:rPr>
        <w:t>**</w:t>
      </w:r>
      <w:r w:rsidRPr="004C321D">
        <w:rPr>
          <w:rFonts w:ascii="Arial" w:hAnsi="Arial" w:cs="Arial"/>
          <w:sz w:val="21"/>
          <w:szCs w:val="21"/>
        </w:rPr>
        <w:t>自然资本（</w:t>
      </w:r>
      <w:r w:rsidRPr="004C321D">
        <w:rPr>
          <w:rFonts w:ascii="Arial" w:hAnsi="Arial" w:cs="Arial"/>
          <w:sz w:val="21"/>
          <w:szCs w:val="21"/>
        </w:rPr>
        <w:t>N</w:t>
      </w:r>
      <w:r w:rsidRPr="004C321D">
        <w:rPr>
          <w:rFonts w:ascii="Arial" w:hAnsi="Arial" w:cs="Arial"/>
          <w:sz w:val="21"/>
          <w:szCs w:val="21"/>
        </w:rPr>
        <w:t>）</w:t>
      </w:r>
      <w:r w:rsidRPr="004C321D">
        <w:rPr>
          <w:rFonts w:ascii="Arial" w:hAnsi="Arial" w:cs="Arial"/>
          <w:b/>
          <w:bCs/>
          <w:sz w:val="21"/>
          <w:szCs w:val="21"/>
        </w:rPr>
        <w:t>和</w:t>
      </w:r>
      <w:r w:rsidRPr="004C321D">
        <w:rPr>
          <w:rFonts w:ascii="Arial" w:hAnsi="Arial" w:cs="Arial"/>
          <w:sz w:val="21"/>
          <w:szCs w:val="21"/>
        </w:rPr>
        <w:t>社会资本（</w:t>
      </w:r>
      <w:r w:rsidRPr="004C321D">
        <w:rPr>
          <w:rFonts w:ascii="Arial" w:hAnsi="Arial" w:cs="Arial"/>
          <w:sz w:val="21"/>
          <w:szCs w:val="21"/>
        </w:rPr>
        <w:t>S</w:t>
      </w:r>
      <w:r w:rsidRPr="004C321D">
        <w:rPr>
          <w:rFonts w:ascii="Arial" w:hAnsi="Arial" w:cs="Arial"/>
          <w:sz w:val="21"/>
          <w:szCs w:val="21"/>
        </w:rPr>
        <w:t>）</w:t>
      </w:r>
      <w:r w:rsidRPr="004C321D">
        <w:rPr>
          <w:rFonts w:ascii="Arial" w:hAnsi="Arial" w:cs="Arial"/>
          <w:sz w:val="21"/>
          <w:szCs w:val="21"/>
        </w:rPr>
        <w:t>**</w:t>
      </w:r>
      <w:r w:rsidRPr="004C321D">
        <w:rPr>
          <w:rFonts w:ascii="Arial" w:hAnsi="Arial" w:cs="Arial"/>
          <w:sz w:val="21"/>
          <w:szCs w:val="21"/>
        </w:rPr>
        <w:t>用半饱和函数处理并相乘，形成</w:t>
      </w:r>
      <w:r w:rsidRPr="004C321D">
        <w:rPr>
          <w:rFonts w:ascii="Arial" w:hAnsi="Arial" w:cs="Arial"/>
          <w:sz w:val="21"/>
          <w:szCs w:val="21"/>
        </w:rPr>
        <w:t>“</w:t>
      </w:r>
      <w:r w:rsidRPr="004C321D">
        <w:rPr>
          <w:rFonts w:ascii="Arial" w:hAnsi="Arial" w:cs="Arial"/>
          <w:sz w:val="21"/>
          <w:szCs w:val="21"/>
        </w:rPr>
        <w:t>木桶效应</w:t>
      </w:r>
      <w:r w:rsidRPr="004C321D">
        <w:rPr>
          <w:rFonts w:ascii="Arial" w:hAnsi="Arial" w:cs="Arial"/>
          <w:sz w:val="21"/>
          <w:szCs w:val="21"/>
        </w:rPr>
        <w:t>”</w:t>
      </w:r>
      <w:r w:rsidRPr="004C321D">
        <w:rPr>
          <w:rFonts w:ascii="Arial" w:hAnsi="Arial" w:cs="Arial"/>
          <w:sz w:val="21"/>
          <w:szCs w:val="21"/>
        </w:rPr>
        <w:t>：任</w:t>
      </w:r>
      <w:proofErr w:type="gramStart"/>
      <w:r w:rsidRPr="004C321D">
        <w:rPr>
          <w:rFonts w:ascii="Arial" w:hAnsi="Arial" w:cs="Arial"/>
          <w:sz w:val="21"/>
          <w:szCs w:val="21"/>
        </w:rPr>
        <w:t>一</w:t>
      </w:r>
      <w:proofErr w:type="gramEnd"/>
      <w:r w:rsidRPr="004C321D">
        <w:rPr>
          <w:rFonts w:ascii="Arial" w:hAnsi="Arial" w:cs="Arial"/>
          <w:sz w:val="21"/>
          <w:szCs w:val="21"/>
        </w:rPr>
        <w:t>要素短缺都会限制总体福祉提升。这种设计突出了</w:t>
      </w:r>
      <w:r w:rsidRPr="004C321D">
        <w:rPr>
          <w:rFonts w:ascii="Arial" w:hAnsi="Arial" w:cs="Arial"/>
          <w:sz w:val="21"/>
          <w:szCs w:val="21"/>
        </w:rPr>
        <w:lastRenderedPageBreak/>
        <w:t>生态与社会因素的重要性，避免了单纯依赖</w:t>
      </w:r>
      <w:r w:rsidRPr="004C321D">
        <w:rPr>
          <w:rFonts w:ascii="Arial" w:hAnsi="Arial" w:cs="Arial"/>
          <w:sz w:val="21"/>
          <w:szCs w:val="21"/>
        </w:rPr>
        <w:t>GDP</w:t>
      </w:r>
      <w:r w:rsidRPr="004C321D">
        <w:rPr>
          <w:rFonts w:ascii="Arial" w:hAnsi="Arial" w:cs="Arial"/>
          <w:sz w:val="21"/>
          <w:szCs w:val="21"/>
        </w:rPr>
        <w:t>的偏差。</w:t>
      </w:r>
    </w:p>
    <w:p w14:paraId="260B58D3" w14:textId="77777777" w:rsidR="004C321D" w:rsidRPr="004C321D" w:rsidRDefault="004C321D" w:rsidP="004C321D">
      <w:pPr>
        <w:numPr>
          <w:ilvl w:val="0"/>
          <w:numId w:val="1"/>
        </w:numPr>
        <w:rPr>
          <w:rFonts w:ascii="Arial" w:hAnsi="Arial" w:cs="Arial"/>
          <w:sz w:val="21"/>
          <w:szCs w:val="21"/>
        </w:rPr>
      </w:pPr>
      <w:r w:rsidRPr="004C321D">
        <w:rPr>
          <w:rFonts w:ascii="Arial" w:hAnsi="Arial" w:cs="Arial"/>
          <w:b/>
          <w:bCs/>
          <w:sz w:val="21"/>
          <w:szCs w:val="21"/>
        </w:rPr>
        <w:t>政策路径</w:t>
      </w:r>
    </w:p>
    <w:p w14:paraId="1C5B4E2D" w14:textId="77777777" w:rsidR="004C321D" w:rsidRPr="004C321D" w:rsidRDefault="004C321D" w:rsidP="004C321D">
      <w:pPr>
        <w:numPr>
          <w:ilvl w:val="1"/>
          <w:numId w:val="1"/>
        </w:numPr>
        <w:rPr>
          <w:rFonts w:ascii="Arial" w:hAnsi="Arial" w:cs="Arial"/>
          <w:sz w:val="21"/>
          <w:szCs w:val="21"/>
        </w:rPr>
      </w:pPr>
      <w:r w:rsidRPr="004C321D">
        <w:rPr>
          <w:rFonts w:ascii="Arial" w:hAnsi="Arial" w:cs="Arial"/>
          <w:b/>
          <w:bCs/>
          <w:sz w:val="21"/>
          <w:szCs w:val="21"/>
        </w:rPr>
        <w:t>税制改革</w:t>
      </w:r>
      <w:r w:rsidRPr="004C321D">
        <w:rPr>
          <w:rFonts w:ascii="Arial" w:hAnsi="Arial" w:cs="Arial"/>
          <w:sz w:val="21"/>
          <w:szCs w:val="21"/>
        </w:rPr>
        <w:t>：从劳动与生产税转向对环境破坏、资源占用征税。</w:t>
      </w:r>
    </w:p>
    <w:p w14:paraId="75D2DEAC" w14:textId="77777777" w:rsidR="004C321D" w:rsidRPr="004C321D" w:rsidRDefault="004C321D" w:rsidP="004C321D">
      <w:pPr>
        <w:numPr>
          <w:ilvl w:val="1"/>
          <w:numId w:val="1"/>
        </w:numPr>
        <w:rPr>
          <w:rFonts w:ascii="Arial" w:hAnsi="Arial" w:cs="Arial"/>
          <w:sz w:val="21"/>
          <w:szCs w:val="21"/>
        </w:rPr>
      </w:pPr>
      <w:r w:rsidRPr="004C321D">
        <w:rPr>
          <w:rFonts w:ascii="Arial" w:hAnsi="Arial" w:cs="Arial"/>
          <w:b/>
          <w:bCs/>
          <w:sz w:val="21"/>
          <w:szCs w:val="21"/>
        </w:rPr>
        <w:t>公共预算</w:t>
      </w:r>
      <w:r w:rsidRPr="004C321D">
        <w:rPr>
          <w:rFonts w:ascii="Arial" w:hAnsi="Arial" w:cs="Arial"/>
          <w:sz w:val="21"/>
          <w:szCs w:val="21"/>
        </w:rPr>
        <w:t>：以福祉为导向分配资源，而非单纯追求</w:t>
      </w:r>
      <w:r w:rsidRPr="004C321D">
        <w:rPr>
          <w:rFonts w:ascii="Arial" w:hAnsi="Arial" w:cs="Arial"/>
          <w:sz w:val="21"/>
          <w:szCs w:val="21"/>
        </w:rPr>
        <w:t>GDP</w:t>
      </w:r>
      <w:r w:rsidRPr="004C321D">
        <w:rPr>
          <w:rFonts w:ascii="Arial" w:hAnsi="Arial" w:cs="Arial"/>
          <w:sz w:val="21"/>
          <w:szCs w:val="21"/>
        </w:rPr>
        <w:t>增长。</w:t>
      </w:r>
    </w:p>
    <w:p w14:paraId="35B573E1" w14:textId="77777777" w:rsidR="004C321D" w:rsidRPr="004C321D" w:rsidRDefault="004C321D" w:rsidP="004C321D">
      <w:pPr>
        <w:numPr>
          <w:ilvl w:val="1"/>
          <w:numId w:val="1"/>
        </w:numPr>
        <w:rPr>
          <w:rFonts w:ascii="Arial" w:hAnsi="Arial" w:cs="Arial"/>
          <w:sz w:val="21"/>
          <w:szCs w:val="21"/>
        </w:rPr>
      </w:pPr>
      <w:r w:rsidRPr="004C321D">
        <w:rPr>
          <w:rFonts w:ascii="Arial" w:hAnsi="Arial" w:cs="Arial"/>
          <w:b/>
          <w:bCs/>
          <w:sz w:val="21"/>
          <w:szCs w:val="21"/>
        </w:rPr>
        <w:t>劳动力制度</w:t>
      </w:r>
      <w:r w:rsidRPr="004C321D">
        <w:rPr>
          <w:rFonts w:ascii="Arial" w:hAnsi="Arial" w:cs="Arial"/>
          <w:sz w:val="21"/>
          <w:szCs w:val="21"/>
        </w:rPr>
        <w:t>：缩短工时、保障公平薪酬，承认无偿照护与志愿服务的社会价值。</w:t>
      </w:r>
    </w:p>
    <w:p w14:paraId="0D2B6146" w14:textId="77777777" w:rsidR="004C321D" w:rsidRPr="004C321D" w:rsidRDefault="004C321D" w:rsidP="004C321D">
      <w:pPr>
        <w:numPr>
          <w:ilvl w:val="1"/>
          <w:numId w:val="1"/>
        </w:numPr>
        <w:rPr>
          <w:rFonts w:ascii="Arial" w:hAnsi="Arial" w:cs="Arial"/>
          <w:sz w:val="21"/>
          <w:szCs w:val="21"/>
        </w:rPr>
      </w:pPr>
      <w:r w:rsidRPr="004C321D">
        <w:rPr>
          <w:rFonts w:ascii="Arial" w:hAnsi="Arial" w:cs="Arial"/>
          <w:b/>
          <w:bCs/>
          <w:sz w:val="21"/>
          <w:szCs w:val="21"/>
        </w:rPr>
        <w:t>技术选择标准</w:t>
      </w:r>
      <w:r w:rsidRPr="004C321D">
        <w:rPr>
          <w:rFonts w:ascii="Arial" w:hAnsi="Arial" w:cs="Arial"/>
          <w:sz w:val="21"/>
          <w:szCs w:val="21"/>
        </w:rPr>
        <w:t>：</w:t>
      </w:r>
      <w:proofErr w:type="gramStart"/>
      <w:r w:rsidRPr="004C321D">
        <w:rPr>
          <w:rFonts w:ascii="Arial" w:hAnsi="Arial" w:cs="Arial"/>
          <w:sz w:val="21"/>
          <w:szCs w:val="21"/>
        </w:rPr>
        <w:t>只推动能</w:t>
      </w:r>
      <w:proofErr w:type="gramEnd"/>
      <w:r w:rsidRPr="004C321D">
        <w:rPr>
          <w:rFonts w:ascii="Arial" w:hAnsi="Arial" w:cs="Arial"/>
          <w:sz w:val="21"/>
          <w:szCs w:val="21"/>
        </w:rPr>
        <w:t>提升净福祉的技术，例如分布式可再生能源、循环经济模式等。</w:t>
      </w:r>
    </w:p>
    <w:p w14:paraId="543F686F" w14:textId="77777777" w:rsidR="004C321D" w:rsidRPr="004C321D" w:rsidRDefault="004C321D" w:rsidP="004C321D">
      <w:pPr>
        <w:numPr>
          <w:ilvl w:val="0"/>
          <w:numId w:val="1"/>
        </w:numPr>
        <w:rPr>
          <w:rFonts w:ascii="Arial" w:hAnsi="Arial" w:cs="Arial"/>
          <w:sz w:val="21"/>
          <w:szCs w:val="21"/>
        </w:rPr>
      </w:pPr>
      <w:r w:rsidRPr="004C321D">
        <w:rPr>
          <w:rFonts w:ascii="Arial" w:hAnsi="Arial" w:cs="Arial"/>
          <w:b/>
          <w:bCs/>
          <w:sz w:val="21"/>
          <w:szCs w:val="21"/>
        </w:rPr>
        <w:t>面临的挑战</w:t>
      </w:r>
    </w:p>
    <w:p w14:paraId="1F965865" w14:textId="77777777" w:rsidR="004C321D" w:rsidRPr="004C321D" w:rsidRDefault="004C321D" w:rsidP="004C321D">
      <w:pPr>
        <w:numPr>
          <w:ilvl w:val="1"/>
          <w:numId w:val="1"/>
        </w:numPr>
        <w:rPr>
          <w:rFonts w:ascii="Arial" w:hAnsi="Arial" w:cs="Arial"/>
          <w:sz w:val="21"/>
          <w:szCs w:val="21"/>
        </w:rPr>
      </w:pPr>
      <w:r w:rsidRPr="004C321D">
        <w:rPr>
          <w:rFonts w:ascii="Arial" w:hAnsi="Arial" w:cs="Arial"/>
          <w:b/>
          <w:bCs/>
          <w:sz w:val="21"/>
          <w:szCs w:val="21"/>
        </w:rPr>
        <w:t>测量一致性</w:t>
      </w:r>
      <w:r w:rsidRPr="004C321D">
        <w:rPr>
          <w:rFonts w:ascii="Arial" w:hAnsi="Arial" w:cs="Arial"/>
          <w:sz w:val="21"/>
          <w:szCs w:val="21"/>
        </w:rPr>
        <w:t>：如何在不同国家间统一自然资本与社会资本的评估方法。</w:t>
      </w:r>
    </w:p>
    <w:p w14:paraId="65C9EE02" w14:textId="77777777" w:rsidR="004C321D" w:rsidRPr="004C321D" w:rsidRDefault="004C321D" w:rsidP="004C321D">
      <w:pPr>
        <w:numPr>
          <w:ilvl w:val="1"/>
          <w:numId w:val="1"/>
        </w:numPr>
        <w:rPr>
          <w:rFonts w:ascii="Arial" w:hAnsi="Arial" w:cs="Arial"/>
          <w:sz w:val="21"/>
          <w:szCs w:val="21"/>
        </w:rPr>
      </w:pPr>
      <w:r w:rsidRPr="004C321D">
        <w:rPr>
          <w:rFonts w:ascii="Arial" w:hAnsi="Arial" w:cs="Arial"/>
          <w:b/>
          <w:bCs/>
          <w:sz w:val="21"/>
          <w:szCs w:val="21"/>
        </w:rPr>
        <w:t>政治阻力</w:t>
      </w:r>
      <w:r w:rsidRPr="004C321D">
        <w:rPr>
          <w:rFonts w:ascii="Arial" w:hAnsi="Arial" w:cs="Arial"/>
          <w:sz w:val="21"/>
          <w:szCs w:val="21"/>
        </w:rPr>
        <w:t>：既得利益可能抵制税制和补贴改革。</w:t>
      </w:r>
    </w:p>
    <w:p w14:paraId="0EBCC255" w14:textId="77777777" w:rsidR="004C321D" w:rsidRPr="004C321D" w:rsidRDefault="004C321D" w:rsidP="004C321D">
      <w:pPr>
        <w:numPr>
          <w:ilvl w:val="1"/>
          <w:numId w:val="1"/>
        </w:numPr>
        <w:rPr>
          <w:rFonts w:ascii="Arial" w:hAnsi="Arial" w:cs="Arial"/>
          <w:sz w:val="21"/>
          <w:szCs w:val="21"/>
        </w:rPr>
      </w:pPr>
      <w:r w:rsidRPr="004C321D">
        <w:rPr>
          <w:rFonts w:ascii="Arial" w:hAnsi="Arial" w:cs="Arial"/>
          <w:b/>
          <w:bCs/>
          <w:sz w:val="21"/>
          <w:szCs w:val="21"/>
        </w:rPr>
        <w:t>全球正义</w:t>
      </w:r>
      <w:r w:rsidRPr="004C321D">
        <w:rPr>
          <w:rFonts w:ascii="Arial" w:hAnsi="Arial" w:cs="Arial"/>
          <w:sz w:val="21"/>
          <w:szCs w:val="21"/>
        </w:rPr>
        <w:t>：发达国家需要承担更多减量义务，而发展中国家应有提升基本福祉的空间。</w:t>
      </w:r>
    </w:p>
    <w:p w14:paraId="58D1BFE7" w14:textId="77777777" w:rsidR="004C321D" w:rsidRDefault="004C321D">
      <w:pPr>
        <w:rPr>
          <w:rFonts w:ascii="Arial" w:hAnsi="Arial" w:cs="Arial"/>
          <w:sz w:val="21"/>
          <w:szCs w:val="21"/>
        </w:rPr>
      </w:pPr>
    </w:p>
    <w:p w14:paraId="20030D7C" w14:textId="77777777" w:rsidR="004D79E2" w:rsidRDefault="004D79E2">
      <w:pPr>
        <w:rPr>
          <w:rFonts w:ascii="Arial" w:hAnsi="Arial" w:cs="Arial"/>
          <w:sz w:val="21"/>
          <w:szCs w:val="21"/>
        </w:rPr>
      </w:pPr>
    </w:p>
    <w:p w14:paraId="353FCCE0" w14:textId="5C79C3BF" w:rsidR="004D79E2" w:rsidRPr="004D79E2" w:rsidRDefault="004D79E2" w:rsidP="00187B16">
      <w:pPr>
        <w:rPr>
          <w:rFonts w:ascii="Arial" w:hAnsi="Arial" w:cs="Arial"/>
          <w:sz w:val="21"/>
          <w:szCs w:val="21"/>
        </w:rPr>
      </w:pPr>
      <w:r w:rsidRPr="004D79E2">
        <w:rPr>
          <w:rFonts w:ascii="Arial" w:hAnsi="Arial" w:cs="Arial"/>
          <w:b/>
          <w:bCs/>
          <w:sz w:val="21"/>
          <w:szCs w:val="21"/>
        </w:rPr>
        <w:t>English Deep Interpretation Introduction &amp; Rationale</w:t>
      </w:r>
      <w:r w:rsidRPr="004D79E2">
        <w:rPr>
          <w:rFonts w:ascii="Arial" w:hAnsi="Arial" w:cs="Arial"/>
          <w:sz w:val="21"/>
          <w:szCs w:val="21"/>
        </w:rPr>
        <w:br/>
        <w:t xml:space="preserve">The paper opens by acknowledging that climate change, ecological degradation, and social inequality have exposed the limitations of GDP-focused growth. It calls for a new framework that secures human wellbeing within ecological boundaries, proposing the </w:t>
      </w:r>
      <w:r w:rsidRPr="004D79E2">
        <w:rPr>
          <w:rFonts w:ascii="Arial" w:hAnsi="Arial" w:cs="Arial"/>
          <w:b/>
          <w:bCs/>
          <w:sz w:val="21"/>
          <w:szCs w:val="21"/>
        </w:rPr>
        <w:t>Wellbeing Economy (WE)</w:t>
      </w:r>
      <w:r w:rsidRPr="004D79E2">
        <w:rPr>
          <w:rFonts w:ascii="Arial" w:hAnsi="Arial" w:cs="Arial"/>
          <w:sz w:val="21"/>
          <w:szCs w:val="21"/>
        </w:rPr>
        <w:t xml:space="preserve"> as a viable approach.</w:t>
      </w:r>
    </w:p>
    <w:p w14:paraId="6BA38869" w14:textId="77777777" w:rsidR="004D79E2" w:rsidRPr="004D79E2" w:rsidRDefault="004D79E2" w:rsidP="004D79E2">
      <w:pPr>
        <w:numPr>
          <w:ilvl w:val="0"/>
          <w:numId w:val="2"/>
        </w:numPr>
        <w:rPr>
          <w:rFonts w:ascii="Arial" w:hAnsi="Arial" w:cs="Arial"/>
          <w:sz w:val="21"/>
          <w:szCs w:val="21"/>
        </w:rPr>
      </w:pPr>
      <w:r w:rsidRPr="004D79E2">
        <w:rPr>
          <w:rFonts w:ascii="Arial" w:hAnsi="Arial" w:cs="Arial"/>
          <w:b/>
          <w:bCs/>
          <w:sz w:val="21"/>
          <w:szCs w:val="21"/>
        </w:rPr>
        <w:t>Definition &amp; Core Features</w:t>
      </w:r>
      <w:r w:rsidRPr="004D79E2">
        <w:rPr>
          <w:rFonts w:ascii="Arial" w:hAnsi="Arial" w:cs="Arial"/>
          <w:sz w:val="21"/>
          <w:szCs w:val="21"/>
        </w:rPr>
        <w:br/>
        <w:t xml:space="preserve">WE </w:t>
      </w:r>
      <w:proofErr w:type="gramStart"/>
      <w:r w:rsidRPr="004D79E2">
        <w:rPr>
          <w:rFonts w:ascii="Arial" w:hAnsi="Arial" w:cs="Arial"/>
          <w:sz w:val="21"/>
          <w:szCs w:val="21"/>
        </w:rPr>
        <w:t>shifts</w:t>
      </w:r>
      <w:proofErr w:type="gramEnd"/>
      <w:r w:rsidRPr="004D79E2">
        <w:rPr>
          <w:rFonts w:ascii="Arial" w:hAnsi="Arial" w:cs="Arial"/>
          <w:sz w:val="21"/>
          <w:szCs w:val="21"/>
        </w:rPr>
        <w:t xml:space="preserve"> the focus from economic expansion to </w:t>
      </w:r>
      <w:r w:rsidRPr="004D79E2">
        <w:rPr>
          <w:rFonts w:ascii="Arial" w:hAnsi="Arial" w:cs="Arial"/>
          <w:b/>
          <w:bCs/>
          <w:sz w:val="21"/>
          <w:szCs w:val="21"/>
        </w:rPr>
        <w:t>quality of life, natural capital health, social cohesion, and equity</w:t>
      </w:r>
      <w:r w:rsidRPr="004D79E2">
        <w:rPr>
          <w:rFonts w:ascii="Arial" w:hAnsi="Arial" w:cs="Arial"/>
          <w:sz w:val="21"/>
          <w:szCs w:val="21"/>
        </w:rPr>
        <w:t xml:space="preserve">. It relies on </w:t>
      </w:r>
      <w:r w:rsidRPr="004D79E2">
        <w:rPr>
          <w:rFonts w:ascii="Arial" w:hAnsi="Arial" w:cs="Arial"/>
          <w:b/>
          <w:bCs/>
          <w:sz w:val="21"/>
          <w:szCs w:val="21"/>
        </w:rPr>
        <w:t>multidimensional indicators</w:t>
      </w:r>
      <w:r w:rsidRPr="004D79E2">
        <w:rPr>
          <w:rFonts w:ascii="Arial" w:hAnsi="Arial" w:cs="Arial"/>
          <w:sz w:val="21"/>
          <w:szCs w:val="21"/>
        </w:rPr>
        <w:t>—such as education, health, environmental quality, and trust—rather than single output metrics.</w:t>
      </w:r>
    </w:p>
    <w:p w14:paraId="7BB51894" w14:textId="77777777" w:rsidR="004D79E2" w:rsidRPr="004D79E2" w:rsidRDefault="004D79E2" w:rsidP="004D79E2">
      <w:pPr>
        <w:numPr>
          <w:ilvl w:val="0"/>
          <w:numId w:val="2"/>
        </w:numPr>
        <w:rPr>
          <w:rFonts w:ascii="Arial" w:hAnsi="Arial" w:cs="Arial"/>
          <w:sz w:val="21"/>
          <w:szCs w:val="21"/>
        </w:rPr>
      </w:pPr>
      <w:r w:rsidRPr="004D79E2">
        <w:rPr>
          <w:rFonts w:ascii="Arial" w:hAnsi="Arial" w:cs="Arial"/>
          <w:b/>
          <w:bCs/>
          <w:sz w:val="21"/>
          <w:szCs w:val="21"/>
        </w:rPr>
        <w:t>Comparison with Degrowth</w:t>
      </w:r>
      <w:r w:rsidRPr="004D79E2">
        <w:rPr>
          <w:rFonts w:ascii="Arial" w:hAnsi="Arial" w:cs="Arial"/>
          <w:sz w:val="21"/>
          <w:szCs w:val="21"/>
        </w:rPr>
        <w:br/>
        <w:t xml:space="preserve">While both advocate reducing unsustainable throughput, WE </w:t>
      </w:r>
      <w:proofErr w:type="gramStart"/>
      <w:r w:rsidRPr="004D79E2">
        <w:rPr>
          <w:rFonts w:ascii="Arial" w:hAnsi="Arial" w:cs="Arial"/>
          <w:sz w:val="21"/>
          <w:szCs w:val="21"/>
        </w:rPr>
        <w:t>uses</w:t>
      </w:r>
      <w:proofErr w:type="gramEnd"/>
      <w:r w:rsidRPr="004D79E2">
        <w:rPr>
          <w:rFonts w:ascii="Arial" w:hAnsi="Arial" w:cs="Arial"/>
          <w:sz w:val="21"/>
          <w:szCs w:val="21"/>
        </w:rPr>
        <w:t xml:space="preserve"> a </w:t>
      </w:r>
      <w:r w:rsidRPr="004D79E2">
        <w:rPr>
          <w:rFonts w:ascii="Arial" w:hAnsi="Arial" w:cs="Arial"/>
          <w:b/>
          <w:bCs/>
          <w:sz w:val="21"/>
          <w:szCs w:val="21"/>
        </w:rPr>
        <w:t>more positive narrative</w:t>
      </w:r>
      <w:r w:rsidRPr="004D79E2">
        <w:rPr>
          <w:rFonts w:ascii="Arial" w:hAnsi="Arial" w:cs="Arial"/>
          <w:sz w:val="21"/>
          <w:szCs w:val="21"/>
        </w:rPr>
        <w:t xml:space="preserve"> that resonates better with policymakers and the public. Degrowth is often misinterpreted as economic contraction, whereas WE </w:t>
      </w:r>
      <w:proofErr w:type="gramStart"/>
      <w:r w:rsidRPr="004D79E2">
        <w:rPr>
          <w:rFonts w:ascii="Arial" w:hAnsi="Arial" w:cs="Arial"/>
          <w:sz w:val="21"/>
          <w:szCs w:val="21"/>
        </w:rPr>
        <w:t>emphasizes</w:t>
      </w:r>
      <w:proofErr w:type="gramEnd"/>
      <w:r w:rsidRPr="004D79E2">
        <w:rPr>
          <w:rFonts w:ascii="Arial" w:hAnsi="Arial" w:cs="Arial"/>
          <w:sz w:val="21"/>
          <w:szCs w:val="21"/>
        </w:rPr>
        <w:t xml:space="preserve"> </w:t>
      </w:r>
      <w:r w:rsidRPr="004D79E2">
        <w:rPr>
          <w:rFonts w:ascii="Arial" w:hAnsi="Arial" w:cs="Arial"/>
          <w:b/>
          <w:bCs/>
          <w:sz w:val="21"/>
          <w:szCs w:val="21"/>
        </w:rPr>
        <w:t>redistribution and quality of life improvement</w:t>
      </w:r>
      <w:r w:rsidRPr="004D79E2">
        <w:rPr>
          <w:rFonts w:ascii="Arial" w:hAnsi="Arial" w:cs="Arial"/>
          <w:sz w:val="21"/>
          <w:szCs w:val="21"/>
        </w:rPr>
        <w:t>.</w:t>
      </w:r>
    </w:p>
    <w:p w14:paraId="6D7CF075" w14:textId="77777777" w:rsidR="004D79E2" w:rsidRDefault="004D79E2" w:rsidP="004D79E2">
      <w:pPr>
        <w:numPr>
          <w:ilvl w:val="0"/>
          <w:numId w:val="2"/>
        </w:numPr>
        <w:rPr>
          <w:rFonts w:ascii="Arial" w:hAnsi="Arial" w:cs="Arial"/>
          <w:sz w:val="21"/>
          <w:szCs w:val="21"/>
        </w:rPr>
      </w:pPr>
      <w:r w:rsidRPr="004D79E2">
        <w:rPr>
          <w:rFonts w:ascii="Arial" w:hAnsi="Arial" w:cs="Arial"/>
          <w:b/>
          <w:bCs/>
          <w:sz w:val="21"/>
          <w:szCs w:val="21"/>
        </w:rPr>
        <w:t>International Practice</w:t>
      </w:r>
      <w:r w:rsidRPr="004D79E2">
        <w:rPr>
          <w:rFonts w:ascii="Arial" w:hAnsi="Arial" w:cs="Arial"/>
          <w:sz w:val="21"/>
          <w:szCs w:val="21"/>
        </w:rPr>
        <w:br/>
        <w:t xml:space="preserve">Examples like </w:t>
      </w:r>
      <w:r w:rsidRPr="004D79E2">
        <w:rPr>
          <w:rFonts w:ascii="Arial" w:hAnsi="Arial" w:cs="Arial"/>
          <w:b/>
          <w:bCs/>
          <w:sz w:val="21"/>
          <w:szCs w:val="21"/>
        </w:rPr>
        <w:t>New Zealand’s Wellbeing Budget</w:t>
      </w:r>
      <w:r w:rsidRPr="004D79E2">
        <w:rPr>
          <w:rFonts w:ascii="Arial" w:hAnsi="Arial" w:cs="Arial"/>
          <w:sz w:val="21"/>
          <w:szCs w:val="21"/>
        </w:rPr>
        <w:t xml:space="preserve">, </w:t>
      </w:r>
      <w:r w:rsidRPr="004D79E2">
        <w:rPr>
          <w:rFonts w:ascii="Arial" w:hAnsi="Arial" w:cs="Arial"/>
          <w:b/>
          <w:bCs/>
          <w:sz w:val="21"/>
          <w:szCs w:val="21"/>
        </w:rPr>
        <w:t xml:space="preserve">Iceland’s wellbeing </w:t>
      </w:r>
      <w:r w:rsidRPr="004D79E2">
        <w:rPr>
          <w:rFonts w:ascii="Arial" w:hAnsi="Arial" w:cs="Arial"/>
          <w:b/>
          <w:bCs/>
          <w:sz w:val="21"/>
          <w:szCs w:val="21"/>
        </w:rPr>
        <w:lastRenderedPageBreak/>
        <w:t>dashboard</w:t>
      </w:r>
      <w:r w:rsidRPr="004D79E2">
        <w:rPr>
          <w:rFonts w:ascii="Arial" w:hAnsi="Arial" w:cs="Arial"/>
          <w:sz w:val="21"/>
          <w:szCs w:val="21"/>
        </w:rPr>
        <w:t xml:space="preserve">, and the </w:t>
      </w:r>
      <w:r w:rsidRPr="004D79E2">
        <w:rPr>
          <w:rFonts w:ascii="Arial" w:hAnsi="Arial" w:cs="Arial"/>
          <w:b/>
          <w:bCs/>
          <w:sz w:val="21"/>
          <w:szCs w:val="21"/>
        </w:rPr>
        <w:t>Wellbeing Economy Governments (WEGo)</w:t>
      </w:r>
      <w:r w:rsidRPr="004D79E2">
        <w:rPr>
          <w:rFonts w:ascii="Arial" w:hAnsi="Arial" w:cs="Arial"/>
          <w:sz w:val="21"/>
          <w:szCs w:val="21"/>
        </w:rPr>
        <w:t xml:space="preserve"> network illustrate how WE concepts are already entering the policy mainstream.</w:t>
      </w:r>
    </w:p>
    <w:p w14:paraId="29C780ED" w14:textId="77777777" w:rsidR="00E86D33" w:rsidRPr="00E86D33" w:rsidRDefault="00E86D33" w:rsidP="00E86D33">
      <w:pPr>
        <w:ind w:left="360"/>
        <w:rPr>
          <w:rFonts w:ascii="Arial" w:hAnsi="Arial" w:cs="Arial"/>
          <w:sz w:val="21"/>
          <w:szCs w:val="21"/>
        </w:rPr>
      </w:pPr>
      <w:r w:rsidRPr="00E86D33">
        <w:rPr>
          <w:rFonts w:ascii="Arial" w:hAnsi="Arial" w:cs="Arial" w:hint="eastAsia"/>
          <w:sz w:val="21"/>
          <w:szCs w:val="21"/>
        </w:rPr>
        <w:t>New Zealand: Since 2019, the government has introduced the Wellbeing Budget, shifting budget priorities from traditional GDP-driven objectives to multidimensional wellbeing goals. Budget allocations are guided by comprehensive indicators covering health, education, environmental quality, mental health, and income distribution, with targeted funding to address these areas each fiscal year.</w:t>
      </w:r>
    </w:p>
    <w:p w14:paraId="65A9D2D8" w14:textId="77777777" w:rsidR="00E86D33" w:rsidRPr="00E86D33" w:rsidRDefault="00E86D33" w:rsidP="00E86D33">
      <w:pPr>
        <w:ind w:left="360"/>
        <w:rPr>
          <w:rFonts w:ascii="Arial" w:hAnsi="Arial" w:cs="Arial"/>
          <w:sz w:val="21"/>
          <w:szCs w:val="21"/>
        </w:rPr>
      </w:pPr>
    </w:p>
    <w:p w14:paraId="3F0AA500" w14:textId="77777777" w:rsidR="00E86D33" w:rsidRPr="00E86D33" w:rsidRDefault="00E86D33" w:rsidP="00E86D33">
      <w:pPr>
        <w:ind w:left="360"/>
        <w:rPr>
          <w:rFonts w:ascii="Arial" w:hAnsi="Arial" w:cs="Arial"/>
          <w:sz w:val="21"/>
          <w:szCs w:val="21"/>
        </w:rPr>
      </w:pPr>
      <w:r w:rsidRPr="00E86D33">
        <w:rPr>
          <w:rFonts w:ascii="Arial" w:hAnsi="Arial" w:cs="Arial" w:hint="eastAsia"/>
          <w:sz w:val="21"/>
          <w:szCs w:val="21"/>
        </w:rPr>
        <w:t>Iceland: Has developed a set of 39 national wellbeing indicators spanning economic, social, and environmental dimensions</w:t>
      </w:r>
      <w:r w:rsidRPr="00E86D33">
        <w:rPr>
          <w:rFonts w:ascii="Arial" w:hAnsi="Arial" w:cs="Arial" w:hint="eastAsia"/>
          <w:sz w:val="21"/>
          <w:szCs w:val="21"/>
        </w:rPr>
        <w:t>—</w:t>
      </w:r>
      <w:r w:rsidRPr="00E86D33">
        <w:rPr>
          <w:rFonts w:ascii="Arial" w:hAnsi="Arial" w:cs="Arial" w:hint="eastAsia"/>
          <w:sz w:val="21"/>
          <w:szCs w:val="21"/>
        </w:rPr>
        <w:t>such as mental health status, community participation, air and water quality, and access to education. These indicators are regularly reported and used to inform policy revisions.</w:t>
      </w:r>
    </w:p>
    <w:p w14:paraId="1668C67F" w14:textId="77777777" w:rsidR="00E86D33" w:rsidRPr="00E86D33" w:rsidRDefault="00E86D33" w:rsidP="00E86D33">
      <w:pPr>
        <w:ind w:left="360"/>
        <w:rPr>
          <w:rFonts w:ascii="Arial" w:hAnsi="Arial" w:cs="Arial"/>
          <w:sz w:val="21"/>
          <w:szCs w:val="21"/>
        </w:rPr>
      </w:pPr>
    </w:p>
    <w:p w14:paraId="7DBA5723" w14:textId="4C93B347" w:rsidR="00E86D33" w:rsidRPr="004D79E2" w:rsidRDefault="00E86D33" w:rsidP="00E86D33">
      <w:pPr>
        <w:ind w:left="360"/>
        <w:rPr>
          <w:rFonts w:ascii="Arial" w:hAnsi="Arial" w:cs="Arial"/>
          <w:sz w:val="21"/>
          <w:szCs w:val="21"/>
        </w:rPr>
      </w:pPr>
      <w:r w:rsidRPr="00E86D33">
        <w:rPr>
          <w:rFonts w:ascii="Arial" w:hAnsi="Arial" w:cs="Arial" w:hint="eastAsia"/>
          <w:sz w:val="21"/>
          <w:szCs w:val="21"/>
        </w:rPr>
        <w:t>WEGo (Wellbeing Economy Governments) Network: Initiated by New Zealand, Iceland, and Scotland, later joined by Wales and Finland, this network facilitates the exchange of best practices and policy tools to embed wellbeing concepts into governance. It hosts regular high-level meetings and undertakes cross-national projects, including methodologies for integrating natural and social capital into economic accounting systems.</w:t>
      </w:r>
    </w:p>
    <w:p w14:paraId="6D219ABC" w14:textId="77777777" w:rsidR="004D79E2" w:rsidRPr="004D79E2" w:rsidRDefault="004D79E2" w:rsidP="004D79E2">
      <w:pPr>
        <w:numPr>
          <w:ilvl w:val="0"/>
          <w:numId w:val="2"/>
        </w:numPr>
        <w:rPr>
          <w:rFonts w:ascii="Arial" w:hAnsi="Arial" w:cs="Arial"/>
          <w:sz w:val="21"/>
          <w:szCs w:val="21"/>
        </w:rPr>
      </w:pPr>
      <w:r w:rsidRPr="004D79E2">
        <w:rPr>
          <w:rFonts w:ascii="Arial" w:hAnsi="Arial" w:cs="Arial"/>
          <w:b/>
          <w:bCs/>
          <w:sz w:val="21"/>
          <w:szCs w:val="21"/>
        </w:rPr>
        <w:t>Measurement Tool: Sustainable Wellbeing Index (SWI)</w:t>
      </w:r>
      <w:r w:rsidRPr="004D79E2">
        <w:rPr>
          <w:rFonts w:ascii="Arial" w:hAnsi="Arial" w:cs="Arial"/>
          <w:sz w:val="21"/>
          <w:szCs w:val="21"/>
        </w:rPr>
        <w:br/>
        <w:t xml:space="preserve">SWI integrates </w:t>
      </w:r>
      <w:r w:rsidRPr="004D79E2">
        <w:rPr>
          <w:rFonts w:ascii="Arial" w:hAnsi="Arial" w:cs="Arial"/>
          <w:b/>
          <w:bCs/>
          <w:sz w:val="21"/>
          <w:szCs w:val="21"/>
        </w:rPr>
        <w:t>net economic contribution (E)</w:t>
      </w:r>
      <w:r w:rsidRPr="004D79E2">
        <w:rPr>
          <w:rFonts w:ascii="Arial" w:hAnsi="Arial" w:cs="Arial"/>
          <w:sz w:val="21"/>
          <w:szCs w:val="21"/>
        </w:rPr>
        <w:t xml:space="preserve">, </w:t>
      </w:r>
      <w:r w:rsidRPr="004D79E2">
        <w:rPr>
          <w:rFonts w:ascii="Arial" w:hAnsi="Arial" w:cs="Arial"/>
          <w:b/>
          <w:bCs/>
          <w:sz w:val="21"/>
          <w:szCs w:val="21"/>
        </w:rPr>
        <w:t>natural capital (N)</w:t>
      </w:r>
      <w:r w:rsidRPr="004D79E2">
        <w:rPr>
          <w:rFonts w:ascii="Arial" w:hAnsi="Arial" w:cs="Arial"/>
          <w:sz w:val="21"/>
          <w:szCs w:val="21"/>
        </w:rPr>
        <w:t xml:space="preserve">, and </w:t>
      </w:r>
      <w:r w:rsidRPr="004D79E2">
        <w:rPr>
          <w:rFonts w:ascii="Arial" w:hAnsi="Arial" w:cs="Arial"/>
          <w:b/>
          <w:bCs/>
          <w:sz w:val="21"/>
          <w:szCs w:val="21"/>
        </w:rPr>
        <w:t>social capital (S)</w:t>
      </w:r>
      <w:r w:rsidRPr="004D79E2">
        <w:rPr>
          <w:rFonts w:ascii="Arial" w:hAnsi="Arial" w:cs="Arial"/>
          <w:sz w:val="21"/>
          <w:szCs w:val="21"/>
        </w:rPr>
        <w:t xml:space="preserve"> through half-saturation functions and multiplication, producing a “bucket effect” where any shortage in </w:t>
      </w:r>
      <w:proofErr w:type="gramStart"/>
      <w:r w:rsidRPr="004D79E2">
        <w:rPr>
          <w:rFonts w:ascii="Arial" w:hAnsi="Arial" w:cs="Arial"/>
          <w:sz w:val="21"/>
          <w:szCs w:val="21"/>
        </w:rPr>
        <w:t>one dimension</w:t>
      </w:r>
      <w:proofErr w:type="gramEnd"/>
      <w:r w:rsidRPr="004D79E2">
        <w:rPr>
          <w:rFonts w:ascii="Arial" w:hAnsi="Arial" w:cs="Arial"/>
          <w:sz w:val="21"/>
          <w:szCs w:val="21"/>
        </w:rPr>
        <w:t xml:space="preserve"> caps total wellbeing. This underscores the necessity of ecological and social dimensions, avoiding GDP-only bias.</w:t>
      </w:r>
    </w:p>
    <w:p w14:paraId="3D39FD3B" w14:textId="77777777" w:rsidR="004D79E2" w:rsidRPr="004D79E2" w:rsidRDefault="004D79E2" w:rsidP="004D79E2">
      <w:pPr>
        <w:numPr>
          <w:ilvl w:val="0"/>
          <w:numId w:val="2"/>
        </w:numPr>
        <w:rPr>
          <w:rFonts w:ascii="Arial" w:hAnsi="Arial" w:cs="Arial"/>
          <w:sz w:val="21"/>
          <w:szCs w:val="21"/>
        </w:rPr>
      </w:pPr>
      <w:r w:rsidRPr="004D79E2">
        <w:rPr>
          <w:rFonts w:ascii="Arial" w:hAnsi="Arial" w:cs="Arial"/>
          <w:b/>
          <w:bCs/>
          <w:sz w:val="21"/>
          <w:szCs w:val="21"/>
        </w:rPr>
        <w:t>Policy Pathways</w:t>
      </w:r>
    </w:p>
    <w:p w14:paraId="74B49FAA" w14:textId="77777777" w:rsidR="004D79E2" w:rsidRPr="004D79E2" w:rsidRDefault="004D79E2" w:rsidP="004D79E2">
      <w:pPr>
        <w:numPr>
          <w:ilvl w:val="1"/>
          <w:numId w:val="2"/>
        </w:numPr>
        <w:rPr>
          <w:rFonts w:ascii="Arial" w:hAnsi="Arial" w:cs="Arial"/>
          <w:sz w:val="21"/>
          <w:szCs w:val="21"/>
        </w:rPr>
      </w:pPr>
      <w:r w:rsidRPr="004D79E2">
        <w:rPr>
          <w:rFonts w:ascii="Arial" w:hAnsi="Arial" w:cs="Arial"/>
          <w:b/>
          <w:bCs/>
          <w:sz w:val="21"/>
          <w:szCs w:val="21"/>
        </w:rPr>
        <w:t>Tax reform</w:t>
      </w:r>
      <w:r w:rsidRPr="004D79E2">
        <w:rPr>
          <w:rFonts w:ascii="Arial" w:hAnsi="Arial" w:cs="Arial"/>
          <w:sz w:val="21"/>
          <w:szCs w:val="21"/>
        </w:rPr>
        <w:t>: shift from labour/production taxes to taxes on environmental harm and resource appropriation.</w:t>
      </w:r>
    </w:p>
    <w:p w14:paraId="505E37CA" w14:textId="77777777" w:rsidR="004D79E2" w:rsidRPr="004D79E2" w:rsidRDefault="004D79E2" w:rsidP="004D79E2">
      <w:pPr>
        <w:numPr>
          <w:ilvl w:val="1"/>
          <w:numId w:val="2"/>
        </w:numPr>
        <w:rPr>
          <w:rFonts w:ascii="Arial" w:hAnsi="Arial" w:cs="Arial"/>
          <w:sz w:val="21"/>
          <w:szCs w:val="21"/>
        </w:rPr>
      </w:pPr>
      <w:r w:rsidRPr="004D79E2">
        <w:rPr>
          <w:rFonts w:ascii="Arial" w:hAnsi="Arial" w:cs="Arial"/>
          <w:b/>
          <w:bCs/>
          <w:sz w:val="21"/>
          <w:szCs w:val="21"/>
        </w:rPr>
        <w:t>Public budgeting</w:t>
      </w:r>
      <w:r w:rsidRPr="004D79E2">
        <w:rPr>
          <w:rFonts w:ascii="Arial" w:hAnsi="Arial" w:cs="Arial"/>
          <w:sz w:val="21"/>
          <w:szCs w:val="21"/>
        </w:rPr>
        <w:t>: allocate resources based on wellbeing priorities, not GDP growth targets.</w:t>
      </w:r>
    </w:p>
    <w:p w14:paraId="498F241D" w14:textId="77777777" w:rsidR="004D79E2" w:rsidRPr="004D79E2" w:rsidRDefault="004D79E2" w:rsidP="004D79E2">
      <w:pPr>
        <w:numPr>
          <w:ilvl w:val="1"/>
          <w:numId w:val="2"/>
        </w:numPr>
        <w:rPr>
          <w:rFonts w:ascii="Arial" w:hAnsi="Arial" w:cs="Arial"/>
          <w:sz w:val="21"/>
          <w:szCs w:val="21"/>
        </w:rPr>
      </w:pPr>
      <w:r w:rsidRPr="004D79E2">
        <w:rPr>
          <w:rFonts w:ascii="Arial" w:hAnsi="Arial" w:cs="Arial"/>
          <w:b/>
          <w:bCs/>
          <w:sz w:val="21"/>
          <w:szCs w:val="21"/>
        </w:rPr>
        <w:t>Labour systems</w:t>
      </w:r>
      <w:r w:rsidRPr="004D79E2">
        <w:rPr>
          <w:rFonts w:ascii="Arial" w:hAnsi="Arial" w:cs="Arial"/>
          <w:sz w:val="21"/>
          <w:szCs w:val="21"/>
        </w:rPr>
        <w:t>: shorten working hours, ensure fair pay, and recognize unpaid care and volunteering.</w:t>
      </w:r>
    </w:p>
    <w:p w14:paraId="13693D50" w14:textId="77777777" w:rsidR="004D79E2" w:rsidRPr="004D79E2" w:rsidRDefault="004D79E2" w:rsidP="004D79E2">
      <w:pPr>
        <w:numPr>
          <w:ilvl w:val="1"/>
          <w:numId w:val="2"/>
        </w:numPr>
        <w:rPr>
          <w:rFonts w:ascii="Arial" w:hAnsi="Arial" w:cs="Arial"/>
          <w:sz w:val="21"/>
          <w:szCs w:val="21"/>
        </w:rPr>
      </w:pPr>
      <w:r w:rsidRPr="004D79E2">
        <w:rPr>
          <w:rFonts w:ascii="Arial" w:hAnsi="Arial" w:cs="Arial"/>
          <w:b/>
          <w:bCs/>
          <w:sz w:val="21"/>
          <w:szCs w:val="21"/>
        </w:rPr>
        <w:t>Technology adoption criteria</w:t>
      </w:r>
      <w:r w:rsidRPr="004D79E2">
        <w:rPr>
          <w:rFonts w:ascii="Arial" w:hAnsi="Arial" w:cs="Arial"/>
          <w:sz w:val="21"/>
          <w:szCs w:val="21"/>
        </w:rPr>
        <w:t xml:space="preserve">: promote only technologies that deliver </w:t>
      </w:r>
      <w:r w:rsidRPr="004D79E2">
        <w:rPr>
          <w:rFonts w:ascii="Arial" w:hAnsi="Arial" w:cs="Arial"/>
          <w:sz w:val="21"/>
          <w:szCs w:val="21"/>
        </w:rPr>
        <w:lastRenderedPageBreak/>
        <w:t>net wellbeing gains, such as distributed renewables and circular economy models.</w:t>
      </w:r>
    </w:p>
    <w:p w14:paraId="4761D232" w14:textId="77777777" w:rsidR="004D79E2" w:rsidRPr="004D79E2" w:rsidRDefault="004D79E2" w:rsidP="004D79E2">
      <w:pPr>
        <w:numPr>
          <w:ilvl w:val="0"/>
          <w:numId w:val="2"/>
        </w:numPr>
        <w:rPr>
          <w:rFonts w:ascii="Arial" w:hAnsi="Arial" w:cs="Arial"/>
          <w:sz w:val="21"/>
          <w:szCs w:val="21"/>
        </w:rPr>
      </w:pPr>
      <w:r w:rsidRPr="004D79E2">
        <w:rPr>
          <w:rFonts w:ascii="Arial" w:hAnsi="Arial" w:cs="Arial"/>
          <w:b/>
          <w:bCs/>
          <w:sz w:val="21"/>
          <w:szCs w:val="21"/>
        </w:rPr>
        <w:t>Challenges Ahead</w:t>
      </w:r>
    </w:p>
    <w:p w14:paraId="0EC9A17B" w14:textId="77777777" w:rsidR="004D79E2" w:rsidRPr="004D79E2" w:rsidRDefault="004D79E2" w:rsidP="004D79E2">
      <w:pPr>
        <w:numPr>
          <w:ilvl w:val="1"/>
          <w:numId w:val="2"/>
        </w:numPr>
        <w:rPr>
          <w:rFonts w:ascii="Arial" w:hAnsi="Arial" w:cs="Arial"/>
          <w:sz w:val="21"/>
          <w:szCs w:val="21"/>
        </w:rPr>
      </w:pPr>
      <w:r w:rsidRPr="004D79E2">
        <w:rPr>
          <w:rFonts w:ascii="Arial" w:hAnsi="Arial" w:cs="Arial"/>
          <w:b/>
          <w:bCs/>
          <w:sz w:val="21"/>
          <w:szCs w:val="21"/>
        </w:rPr>
        <w:t>Measurement consistency</w:t>
      </w:r>
      <w:r w:rsidRPr="004D79E2">
        <w:rPr>
          <w:rFonts w:ascii="Arial" w:hAnsi="Arial" w:cs="Arial"/>
          <w:sz w:val="21"/>
          <w:szCs w:val="21"/>
        </w:rPr>
        <w:t>: establishing comparable methods for valuing natural and social capital across countries.</w:t>
      </w:r>
    </w:p>
    <w:p w14:paraId="6844B2F0" w14:textId="77777777" w:rsidR="004D79E2" w:rsidRPr="004D79E2" w:rsidRDefault="004D79E2" w:rsidP="004D79E2">
      <w:pPr>
        <w:numPr>
          <w:ilvl w:val="1"/>
          <w:numId w:val="2"/>
        </w:numPr>
        <w:rPr>
          <w:rFonts w:ascii="Arial" w:hAnsi="Arial" w:cs="Arial"/>
          <w:sz w:val="21"/>
          <w:szCs w:val="21"/>
        </w:rPr>
      </w:pPr>
      <w:r w:rsidRPr="004D79E2">
        <w:rPr>
          <w:rFonts w:ascii="Arial" w:hAnsi="Arial" w:cs="Arial"/>
          <w:b/>
          <w:bCs/>
          <w:sz w:val="21"/>
          <w:szCs w:val="21"/>
        </w:rPr>
        <w:t>Political resistance</w:t>
      </w:r>
      <w:r w:rsidRPr="004D79E2">
        <w:rPr>
          <w:rFonts w:ascii="Arial" w:hAnsi="Arial" w:cs="Arial"/>
          <w:sz w:val="21"/>
          <w:szCs w:val="21"/>
        </w:rPr>
        <w:t>: entrenched interests may oppose tax and subsidy reforms.</w:t>
      </w:r>
    </w:p>
    <w:p w14:paraId="2E91976D" w14:textId="77777777" w:rsidR="004D79E2" w:rsidRPr="004D79E2" w:rsidRDefault="004D79E2" w:rsidP="004D79E2">
      <w:pPr>
        <w:numPr>
          <w:ilvl w:val="1"/>
          <w:numId w:val="2"/>
        </w:numPr>
        <w:rPr>
          <w:rFonts w:ascii="Arial" w:hAnsi="Arial" w:cs="Arial"/>
          <w:sz w:val="21"/>
          <w:szCs w:val="21"/>
        </w:rPr>
      </w:pPr>
      <w:r w:rsidRPr="004D79E2">
        <w:rPr>
          <w:rFonts w:ascii="Arial" w:hAnsi="Arial" w:cs="Arial"/>
          <w:b/>
          <w:bCs/>
          <w:sz w:val="21"/>
          <w:szCs w:val="21"/>
        </w:rPr>
        <w:t>Global justice</w:t>
      </w:r>
      <w:r w:rsidRPr="004D79E2">
        <w:rPr>
          <w:rFonts w:ascii="Arial" w:hAnsi="Arial" w:cs="Arial"/>
          <w:sz w:val="21"/>
          <w:szCs w:val="21"/>
        </w:rPr>
        <w:t>: developed nations should bear greater reduction responsibilities, while developing countries retain room to enhance basic wellbeing.</w:t>
      </w:r>
    </w:p>
    <w:p w14:paraId="331A8199" w14:textId="77777777" w:rsidR="004D79E2" w:rsidRPr="004D79E2" w:rsidRDefault="004D79E2">
      <w:pPr>
        <w:rPr>
          <w:rFonts w:ascii="Arial" w:hAnsi="Arial" w:cs="Arial"/>
          <w:sz w:val="21"/>
          <w:szCs w:val="21"/>
        </w:rPr>
      </w:pPr>
    </w:p>
    <w:sectPr w:rsidR="004D79E2" w:rsidRPr="004D79E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780AD1" w14:textId="77777777" w:rsidR="0073117A" w:rsidRDefault="0073117A" w:rsidP="005632AB">
      <w:pPr>
        <w:spacing w:after="0" w:line="240" w:lineRule="auto"/>
        <w:rPr>
          <w:rFonts w:hint="eastAsia"/>
        </w:rPr>
      </w:pPr>
      <w:r>
        <w:separator/>
      </w:r>
    </w:p>
  </w:endnote>
  <w:endnote w:type="continuationSeparator" w:id="0">
    <w:p w14:paraId="00E87F89" w14:textId="77777777" w:rsidR="0073117A" w:rsidRDefault="0073117A" w:rsidP="005632AB">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3A5298" w14:textId="77777777" w:rsidR="0073117A" w:rsidRDefault="0073117A" w:rsidP="005632AB">
      <w:pPr>
        <w:spacing w:after="0" w:line="240" w:lineRule="auto"/>
        <w:rPr>
          <w:rFonts w:hint="eastAsia"/>
        </w:rPr>
      </w:pPr>
      <w:r>
        <w:separator/>
      </w:r>
    </w:p>
  </w:footnote>
  <w:footnote w:type="continuationSeparator" w:id="0">
    <w:p w14:paraId="35AE98FD" w14:textId="77777777" w:rsidR="0073117A" w:rsidRDefault="0073117A" w:rsidP="005632AB">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942798"/>
    <w:multiLevelType w:val="multilevel"/>
    <w:tmpl w:val="627813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E113A9"/>
    <w:multiLevelType w:val="multilevel"/>
    <w:tmpl w:val="FF8065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4882872">
    <w:abstractNumId w:val="0"/>
  </w:num>
  <w:num w:numId="2" w16cid:durableId="6088970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15E"/>
    <w:rsid w:val="00187B16"/>
    <w:rsid w:val="0027677C"/>
    <w:rsid w:val="0030182F"/>
    <w:rsid w:val="00305C99"/>
    <w:rsid w:val="004C321D"/>
    <w:rsid w:val="004D79E2"/>
    <w:rsid w:val="005632AB"/>
    <w:rsid w:val="0073117A"/>
    <w:rsid w:val="008F106C"/>
    <w:rsid w:val="00986C69"/>
    <w:rsid w:val="00991122"/>
    <w:rsid w:val="00A14AB2"/>
    <w:rsid w:val="00A230AA"/>
    <w:rsid w:val="00C7615E"/>
    <w:rsid w:val="00D77235"/>
    <w:rsid w:val="00E86D33"/>
    <w:rsid w:val="00EE2B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A7DFEB9"/>
  <w15:chartTrackingRefBased/>
  <w15:docId w15:val="{6E9A2D07-3A0F-4BC5-9492-B608E3D88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C7615E"/>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C7615E"/>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C7615E"/>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C7615E"/>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C7615E"/>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C7615E"/>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C7615E"/>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7615E"/>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C7615E"/>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7615E"/>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C7615E"/>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C7615E"/>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C7615E"/>
    <w:rPr>
      <w:rFonts w:cstheme="majorBidi"/>
      <w:color w:val="2F5496" w:themeColor="accent1" w:themeShade="BF"/>
      <w:sz w:val="28"/>
      <w:szCs w:val="28"/>
    </w:rPr>
  </w:style>
  <w:style w:type="character" w:customStyle="1" w:styleId="50">
    <w:name w:val="标题 5 字符"/>
    <w:basedOn w:val="a0"/>
    <w:link w:val="5"/>
    <w:uiPriority w:val="9"/>
    <w:semiHidden/>
    <w:rsid w:val="00C7615E"/>
    <w:rPr>
      <w:rFonts w:cstheme="majorBidi"/>
      <w:color w:val="2F5496" w:themeColor="accent1" w:themeShade="BF"/>
      <w:sz w:val="24"/>
    </w:rPr>
  </w:style>
  <w:style w:type="character" w:customStyle="1" w:styleId="60">
    <w:name w:val="标题 6 字符"/>
    <w:basedOn w:val="a0"/>
    <w:link w:val="6"/>
    <w:uiPriority w:val="9"/>
    <w:semiHidden/>
    <w:rsid w:val="00C7615E"/>
    <w:rPr>
      <w:rFonts w:cstheme="majorBidi"/>
      <w:b/>
      <w:bCs/>
      <w:color w:val="2F5496" w:themeColor="accent1" w:themeShade="BF"/>
    </w:rPr>
  </w:style>
  <w:style w:type="character" w:customStyle="1" w:styleId="70">
    <w:name w:val="标题 7 字符"/>
    <w:basedOn w:val="a0"/>
    <w:link w:val="7"/>
    <w:uiPriority w:val="9"/>
    <w:semiHidden/>
    <w:rsid w:val="00C7615E"/>
    <w:rPr>
      <w:rFonts w:cstheme="majorBidi"/>
      <w:b/>
      <w:bCs/>
      <w:color w:val="595959" w:themeColor="text1" w:themeTint="A6"/>
    </w:rPr>
  </w:style>
  <w:style w:type="character" w:customStyle="1" w:styleId="80">
    <w:name w:val="标题 8 字符"/>
    <w:basedOn w:val="a0"/>
    <w:link w:val="8"/>
    <w:uiPriority w:val="9"/>
    <w:semiHidden/>
    <w:rsid w:val="00C7615E"/>
    <w:rPr>
      <w:rFonts w:cstheme="majorBidi"/>
      <w:color w:val="595959" w:themeColor="text1" w:themeTint="A6"/>
    </w:rPr>
  </w:style>
  <w:style w:type="character" w:customStyle="1" w:styleId="90">
    <w:name w:val="标题 9 字符"/>
    <w:basedOn w:val="a0"/>
    <w:link w:val="9"/>
    <w:uiPriority w:val="9"/>
    <w:semiHidden/>
    <w:rsid w:val="00C7615E"/>
    <w:rPr>
      <w:rFonts w:eastAsiaTheme="majorEastAsia" w:cstheme="majorBidi"/>
      <w:color w:val="595959" w:themeColor="text1" w:themeTint="A6"/>
    </w:rPr>
  </w:style>
  <w:style w:type="paragraph" w:styleId="a3">
    <w:name w:val="Title"/>
    <w:basedOn w:val="a"/>
    <w:next w:val="a"/>
    <w:link w:val="a4"/>
    <w:uiPriority w:val="10"/>
    <w:qFormat/>
    <w:rsid w:val="00C7615E"/>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7615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7615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7615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7615E"/>
    <w:pPr>
      <w:spacing w:before="160"/>
      <w:jc w:val="center"/>
    </w:pPr>
    <w:rPr>
      <w:i/>
      <w:iCs/>
      <w:color w:val="404040" w:themeColor="text1" w:themeTint="BF"/>
    </w:rPr>
  </w:style>
  <w:style w:type="character" w:customStyle="1" w:styleId="a8">
    <w:name w:val="引用 字符"/>
    <w:basedOn w:val="a0"/>
    <w:link w:val="a7"/>
    <w:uiPriority w:val="29"/>
    <w:rsid w:val="00C7615E"/>
    <w:rPr>
      <w:i/>
      <w:iCs/>
      <w:color w:val="404040" w:themeColor="text1" w:themeTint="BF"/>
    </w:rPr>
  </w:style>
  <w:style w:type="paragraph" w:styleId="a9">
    <w:name w:val="List Paragraph"/>
    <w:basedOn w:val="a"/>
    <w:uiPriority w:val="34"/>
    <w:qFormat/>
    <w:rsid w:val="00C7615E"/>
    <w:pPr>
      <w:ind w:left="720"/>
      <w:contextualSpacing/>
    </w:pPr>
  </w:style>
  <w:style w:type="character" w:styleId="aa">
    <w:name w:val="Intense Emphasis"/>
    <w:basedOn w:val="a0"/>
    <w:uiPriority w:val="21"/>
    <w:qFormat/>
    <w:rsid w:val="00C7615E"/>
    <w:rPr>
      <w:i/>
      <w:iCs/>
      <w:color w:val="2F5496" w:themeColor="accent1" w:themeShade="BF"/>
    </w:rPr>
  </w:style>
  <w:style w:type="paragraph" w:styleId="ab">
    <w:name w:val="Intense Quote"/>
    <w:basedOn w:val="a"/>
    <w:next w:val="a"/>
    <w:link w:val="ac"/>
    <w:uiPriority w:val="30"/>
    <w:qFormat/>
    <w:rsid w:val="00C7615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C7615E"/>
    <w:rPr>
      <w:i/>
      <w:iCs/>
      <w:color w:val="2F5496" w:themeColor="accent1" w:themeShade="BF"/>
    </w:rPr>
  </w:style>
  <w:style w:type="character" w:styleId="ad">
    <w:name w:val="Intense Reference"/>
    <w:basedOn w:val="a0"/>
    <w:uiPriority w:val="32"/>
    <w:qFormat/>
    <w:rsid w:val="00C7615E"/>
    <w:rPr>
      <w:b/>
      <w:bCs/>
      <w:smallCaps/>
      <w:color w:val="2F5496" w:themeColor="accent1" w:themeShade="BF"/>
      <w:spacing w:val="5"/>
    </w:rPr>
  </w:style>
  <w:style w:type="paragraph" w:styleId="ae">
    <w:name w:val="header"/>
    <w:basedOn w:val="a"/>
    <w:link w:val="af"/>
    <w:uiPriority w:val="99"/>
    <w:unhideWhenUsed/>
    <w:rsid w:val="005632AB"/>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5632AB"/>
    <w:rPr>
      <w:sz w:val="18"/>
      <w:szCs w:val="18"/>
    </w:rPr>
  </w:style>
  <w:style w:type="paragraph" w:styleId="af0">
    <w:name w:val="footer"/>
    <w:basedOn w:val="a"/>
    <w:link w:val="af1"/>
    <w:uiPriority w:val="99"/>
    <w:unhideWhenUsed/>
    <w:rsid w:val="005632AB"/>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5632A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1237</Words>
  <Characters>3455</Characters>
  <Application>Microsoft Office Word</Application>
  <DocSecurity>0</DocSecurity>
  <Lines>88</Lines>
  <Paragraphs>40</Paragraphs>
  <ScaleCrop>false</ScaleCrop>
  <Company/>
  <LinksUpToDate>false</LinksUpToDate>
  <CharactersWithSpaces>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 Tian</dc:creator>
  <cp:keywords/>
  <dc:description/>
  <cp:lastModifiedBy>Tian Tian</cp:lastModifiedBy>
  <cp:revision>15</cp:revision>
  <dcterms:created xsi:type="dcterms:W3CDTF">2025-08-13T08:17:00Z</dcterms:created>
  <dcterms:modified xsi:type="dcterms:W3CDTF">2025-08-14T09:17:00Z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e8cf31cf-4beb-4af6-88ea-c4fc3eda4fd3</vt:lpwstr>
  </property>
</Properties>
</file>