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RiskGuard SaaS Platform: An Enterprise Strategy Proposal for Health Insurers</w:t>
      </w:r>
    </w:p>
    <w:p>
      <w:pPr>
        <w:pStyle w:val="MdHr"/>
        <w:pBdr>
          <w:bottom w:val="single" w:color="auto" w:sz="6" w:space="1"/>
        </w:pBdr>
      </w:pPr>
    </w:p>
    <w:p>
      <w:pPr>
        <w:pStyle w:val="MdSpace"/>
        <w:spacing w:before="0" w:after="60"/>
      </w:pPr>
    </w:p>
    <w:p>
      <w:pPr>
        <w:pStyle w:val="Heading2"/>
        <w:pStyle w:val="MdHeading2"/>
      </w:pPr>
      <w:r>
        <w:t xml:space="preserve">1. Executive Summary</w:t>
      </w:r>
    </w:p>
    <w:p>
      <w:pPr>
        <w:pStyle w:val="MdParagraph"/>
      </w:pPr>
      <w:r>
        <w:t xml:space="preserve">The individual health insurance sector in Egypt is experiencing an escalating financial crisis. Medical Loss Ratios (MLR) in individual portfolios consistently hover between 85% and 91%, driven primarily by "Post-Sale Medical Blindness" and unmonitored chronic disease portfolios. Insurers remain entirely decoupled from policyholders' biometric realities, leading to reactive claims management and severe margin erosion.</w:t>
      </w:r>
    </w:p>
    <w:p>
      <w:pPr>
        <w:pStyle w:val="MdSpace"/>
        <w:spacing w:before="0" w:after="60"/>
      </w:pPr>
    </w:p>
    <w:p>
      <w:pPr>
        <w:pStyle w:val="MdParagraph"/>
      </w:pPr>
      <w:r>
        <w:t xml:space="preserve">RiskGuard is an enterprise-grade, AI-powered B2B Software-as-a-Service (SaaS) governance platform integrated directly into the insurer’s core claims and underwriting engine. By transforming static, yearly underwriting into dynamic, longitudinal health tracking, RiskGuard bridges the critical gap between monthly chronic medication dispensing and continuous risk assessment.</w:t>
      </w:r>
    </w:p>
    <w:p>
      <w:pPr>
        <w:pStyle w:val="MdSpace"/>
        <w:spacing w:before="0" w:after="60"/>
      </w:pPr>
    </w:p>
    <w:p>
      <w:pPr>
        <w:pStyle w:val="MdParagraph"/>
      </w:pPr>
      <w:r>
        <w:rPr>
          <w:rStyle w:val="MdStrong"/>
          <w:b/>
          <w:bCs/>
        </w:rPr>
        <w:t xml:space="preserve">Key Financial Deliverables:</w:t>
      </w:r>
    </w:p>
    <w:p>
      <w:pPr>
        <w:pStyle w:val="MdSpace"/>
        <w:spacing w:before="0" w:after="60"/>
      </w:pPr>
    </w:p>
    <w:p>
      <w:pPr>
        <w:pStyle w:val="MdListItem"/>
        <w:numPr>
          <w:ilvl w:val="0"/>
          <w:numId w:val="2"/>
        </w:numPr>
      </w:pPr>
      <w:r>
        <w:t xml:space="preserve">Average annualized savings of $1,280 (approx. 62,000 EGP) per monitored chronic patient through early clinical intervention and fraud eradication.</w:t>
      </w:r>
    </w:p>
    <w:p>
      <w:pPr>
        <w:pStyle w:val="MdListItem"/>
        <w:numPr>
          <w:ilvl w:val="0"/>
          <w:numId w:val="2"/>
        </w:numPr>
      </w:pPr>
      <w:r>
        <w:t xml:space="preserve">A documented Return on Investment (ROI) of $3.80 for every $1.00 invested in digital chronic disease governance.</w:t>
      </w:r>
    </w:p>
    <w:p>
      <w:pPr>
        <w:pStyle w:val="MdListItem"/>
        <w:numPr>
          <w:ilvl w:val="0"/>
          <w:numId w:val="2"/>
        </w:numPr>
      </w:pPr>
      <w:r>
        <w:t xml:space="preserve">Up to 20% reduction in catastrophic secondary hospitalizations (e.g., strokes, diabetic comas).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The Egyptian Health Insurance Ecosystem Architecture</w:t>
      </w:r>
    </w:p>
    <w:p>
      <w:pPr>
        <w:pStyle w:val="MdParagraph"/>
      </w:pPr>
      <w:r>
        <w:t xml:space="preserve">To contextualize the implementation of RiskGuard, the enterprise operational model must be mapped against the highly fragmented Egyptian healthcare matrix. In 2026, the data and financial flow between the seven key pillars remains heavily siloed, manual, and prone to leakage:</w:t>
      </w:r>
    </w:p>
    <w:p>
      <w:pPr>
        <w:pStyle w:val="MdSpace"/>
        <w:spacing w:before="0" w:after="60"/>
      </w:pPr>
    </w:p>
    <w:p>
      <w:pPr>
        <w:pStyle w:val="MdListItem"/>
        <w:numPr>
          <w:ilvl w:val="0"/>
          <w:numId w:val="2"/>
        </w:numPr>
      </w:pPr>
      <w:r>
        <w:rPr>
          <w:rStyle w:val="MdStrong"/>
          <w:b/>
          <w:bCs/>
        </w:rPr>
        <w:t xml:space="preserve">Primary Insurers :</w:t>
      </w:r>
      <w:r>
        <w:t xml:space="preserve"> Bear 100% of the underwriting risk but possess 0% real-time visibility into daily patient clinical compliance.</w:t>
      </w:r>
    </w:p>
    <w:p>
      <w:pPr>
        <w:pStyle w:val="MdListItem"/>
        <w:numPr>
          <w:ilvl w:val="0"/>
          <w:numId w:val="2"/>
        </w:numPr>
      </w:pPr>
      <w:r>
        <w:rPr>
          <w:rStyle w:val="MdStrong"/>
          <w:b/>
          <w:bCs/>
        </w:rPr>
        <w:t xml:space="preserve">Third-Party Administrators :</w:t>
      </w:r>
      <w:r>
        <w:t xml:space="preserve"> Manage the operational network and adjudicate claims based on rigid, retrospective rules, creating severe SLA bottlenecks.</w:t>
      </w:r>
    </w:p>
    <w:p>
      <w:pPr>
        <w:pStyle w:val="MdListItem"/>
        <w:numPr>
          <w:ilvl w:val="0"/>
          <w:numId w:val="2"/>
        </w:numPr>
      </w:pPr>
      <w:r>
        <w:rPr>
          <w:rStyle w:val="MdStrong"/>
          <w:b/>
          <w:bCs/>
        </w:rPr>
        <w:t xml:space="preserve">Medical Providers (Hospitals &amp; Laboratories):</w:t>
      </w:r>
      <w:r>
        <w:t xml:space="preserve"> Operate as cost centers. Diagnostic laboratories charge between 800 EGP and 2,500 EGP per routine chronic checkup panel, fully subsidized by the insurer.</w:t>
      </w:r>
    </w:p>
    <w:p>
      <w:pPr>
        <w:pStyle w:val="MdListItem"/>
        <w:numPr>
          <w:ilvl w:val="0"/>
          <w:numId w:val="2"/>
        </w:numPr>
      </w:pPr>
      <w:r>
        <w:rPr>
          <w:rStyle w:val="MdStrong"/>
          <w:b/>
          <w:bCs/>
        </w:rPr>
        <w:t xml:space="preserve">Pharmacy Chains (e.g., El Ezaby, Care, Misr):</w:t>
      </w:r>
      <w:r>
        <w:t xml:space="preserve"> The ultimate point of fulfillment where medication hoarding and identity fraud take place due to lax point-of-sale verification.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Current Individual Insurance Workflow (As-Is)</w:t>
      </w:r>
    </w:p>
    <w:p>
      <w:pPr>
        <w:pStyle w:val="MdParagraph"/>
      </w:pPr>
      <w:r>
        <w:t xml:space="preserve">The legacy individual insurance lifecycle operates on a linear, unmonitored pipeline. Below is the operational breakdown of the 6 core stages, highlighting the process owners and the explicit cost centers:</w:t>
      </w:r>
    </w:p>
    <w:p>
      <w:pPr>
        <w:pStyle w:val="MdSpace"/>
        <w:spacing w:before="0" w:after="60"/>
      </w:pPr>
    </w:p>
    <w:p>
      <w:pPr>
        <w:pStyle w:val="Heading3"/>
        <w:pStyle w:val="MdHeading3"/>
      </w:pPr>
      <w:r>
        <w:t xml:space="preserve">Stage 1: Onboarding &amp; Medical Declaration</w:t>
      </w:r>
    </w:p>
    <w:p>
      <w:pPr>
        <w:pStyle w:val="MdListItem"/>
        <w:numPr>
          <w:ilvl w:val="0"/>
          <w:numId w:val="2"/>
        </w:numPr>
      </w:pPr>
      <w:r>
        <w:rPr>
          <w:rStyle w:val="MdStrong"/>
          <w:b/>
          <w:bCs/>
        </w:rPr>
        <w:t xml:space="preserve">Process Owner:</w:t>
      </w:r>
      <w:r>
        <w:t xml:space="preserve"> Sales Agent / Broker.</w:t>
      </w:r>
    </w:p>
    <w:p>
      <w:pPr>
        <w:pStyle w:val="MdListItem"/>
        <w:numPr>
          <w:ilvl w:val="0"/>
          <w:numId w:val="2"/>
        </w:numPr>
      </w:pPr>
      <w:r>
        <w:rPr>
          <w:rStyle w:val="MdStrong"/>
          <w:b/>
          <w:bCs/>
        </w:rPr>
        <w:t xml:space="preserve">Inputs:</w:t>
      </w:r>
      <w:r>
        <w:t xml:space="preserve"> Standard Paper/Digital Health Declaration Form filled by the prospect.</w:t>
      </w:r>
    </w:p>
    <w:p>
      <w:pPr>
        <w:pStyle w:val="MdListItem"/>
        <w:numPr>
          <w:ilvl w:val="0"/>
          <w:numId w:val="2"/>
        </w:numPr>
      </w:pPr>
      <w:r>
        <w:rPr>
          <w:rStyle w:val="MdStrong"/>
          <w:b/>
          <w:bCs/>
        </w:rPr>
        <w:t xml:space="preserve">Outputs:</w:t>
      </w:r>
      <w:r>
        <w:t xml:space="preserve"> Signed Policy Application.</w:t>
      </w:r>
    </w:p>
    <w:p>
      <w:pPr>
        <w:pStyle w:val="MdListItem"/>
        <w:numPr>
          <w:ilvl w:val="0"/>
          <w:numId w:val="2"/>
        </w:numPr>
      </w:pPr>
      <w:r>
        <w:rPr>
          <w:rStyle w:val="MdStrong"/>
          <w:b/>
          <w:bCs/>
        </w:rPr>
        <w:t xml:space="preserve">Systems Involved:</w:t>
      </w:r>
      <w:r>
        <w:t xml:space="preserve"> Core CRM / Sales Portal.</w:t>
      </w:r>
    </w:p>
    <w:p>
      <w:pPr>
        <w:pStyle w:val="MdListItem"/>
        <w:numPr>
          <w:ilvl w:val="0"/>
          <w:numId w:val="2"/>
        </w:numPr>
      </w:pPr>
      <w:r>
        <w:rPr>
          <w:rStyle w:val="MdStrong"/>
          <w:b/>
          <w:bCs/>
        </w:rPr>
        <w:t xml:space="preserve">Manual Tasks:</w:t>
      </w:r>
      <w:r>
        <w:t xml:space="preserve"> Subjective form completion; text-based screening.</w:t>
      </w:r>
    </w:p>
    <w:p>
      <w:pPr>
        <w:pStyle w:val="MdListItem"/>
        <w:numPr>
          <w:ilvl w:val="0"/>
          <w:numId w:val="2"/>
        </w:numPr>
      </w:pPr>
      <w:r>
        <w:rPr>
          <w:rStyle w:val="MdStrong"/>
          <w:b/>
          <w:bCs/>
        </w:rPr>
        <w:t xml:space="preserve">Average Turnaround Time:</w:t>
      </w:r>
      <w:r>
        <w:t xml:space="preserve"> 24 to 48 Hours.</w:t>
      </w:r>
    </w:p>
    <w:p>
      <w:pPr>
        <w:pStyle w:val="MdListItem"/>
        <w:numPr>
          <w:ilvl w:val="0"/>
          <w:numId w:val="2"/>
        </w:numPr>
      </w:pPr>
      <w:r>
        <w:rPr>
          <w:rStyle w:val="MdStrong"/>
          <w:b/>
          <w:bCs/>
        </w:rPr>
        <w:t xml:space="preserve">Pain Points &amp; Risks:</w:t>
      </w:r>
      <w:r>
        <w:t xml:space="preserve"> High risk of non-disclosure. Sales agents frequently coach prospects to check "No" on chronic conditions to expedite commissions.</w:t>
      </w:r>
    </w:p>
    <w:p>
      <w:pPr>
        <w:pStyle w:val="MdListItem"/>
        <w:numPr>
          <w:ilvl w:val="0"/>
          <w:numId w:val="2"/>
        </w:numPr>
      </w:pPr>
      <w:r>
        <w:rPr>
          <w:rStyle w:val="MdStrong"/>
          <w:b/>
          <w:bCs/>
        </w:rPr>
        <w:t xml:space="preserve">Financial Impact:</w:t>
      </w:r>
      <w:r>
        <w:t xml:space="preserve"> Introduces high-risk, unpriced chronic liabilities directly into the portfolio from Day 1.</w:t>
      </w:r>
    </w:p>
    <w:p>
      <w:pPr>
        <w:pStyle w:val="MdSpace"/>
        <w:spacing w:before="0" w:after="60"/>
      </w:pPr>
    </w:p>
    <w:p>
      <w:pPr>
        <w:pStyle w:val="Heading3"/>
        <w:pStyle w:val="MdHeading3"/>
      </w:pPr>
      <w:r>
        <w:t xml:space="preserve">Stage 2: Medical Underwriting &amp; Assessment</w:t>
      </w:r>
    </w:p>
    <w:p>
      <w:pPr>
        <w:pStyle w:val="MdListItem"/>
        <w:numPr>
          <w:ilvl w:val="0"/>
          <w:numId w:val="2"/>
        </w:numPr>
      </w:pPr>
      <w:r>
        <w:rPr>
          <w:rStyle w:val="MdStrong"/>
          <w:b/>
          <w:bCs/>
        </w:rPr>
        <w:t xml:space="preserve">Process Owner:</w:t>
      </w:r>
      <w:r>
        <w:t xml:space="preserve"> Medical Underwriting Team.</w:t>
      </w:r>
    </w:p>
    <w:p>
      <w:pPr>
        <w:pStyle w:val="MdListItem"/>
        <w:numPr>
          <w:ilvl w:val="0"/>
          <w:numId w:val="2"/>
        </w:numPr>
      </w:pPr>
      <w:r>
        <w:rPr>
          <w:rStyle w:val="MdStrong"/>
          <w:b/>
          <w:bCs/>
        </w:rPr>
        <w:t xml:space="preserve">Inputs:</w:t>
      </w:r>
      <w:r>
        <w:t xml:space="preserve"> Declared health conditions or Age criteria strictly greater than 40.</w:t>
      </w:r>
    </w:p>
    <w:p>
      <w:pPr>
        <w:pStyle w:val="MdListItem"/>
        <w:numPr>
          <w:ilvl w:val="0"/>
          <w:numId w:val="2"/>
        </w:numPr>
      </w:pPr>
      <w:r>
        <w:rPr>
          <w:rStyle w:val="MdStrong"/>
          <w:b/>
          <w:bCs/>
        </w:rPr>
        <w:t xml:space="preserve">Outputs:</w:t>
      </w:r>
      <w:r>
        <w:t xml:space="preserve"> Referral Letter for mandatory laboratory testing.</w:t>
      </w:r>
    </w:p>
    <w:p>
      <w:pPr>
        <w:pStyle w:val="MdListItem"/>
        <w:numPr>
          <w:ilvl w:val="0"/>
          <w:numId w:val="2"/>
        </w:numPr>
      </w:pPr>
      <w:r>
        <w:rPr>
          <w:rStyle w:val="MdStrong"/>
          <w:b/>
          <w:bCs/>
        </w:rPr>
        <w:t xml:space="preserve">Systems Involved:</w:t>
      </w:r>
      <w:r>
        <w:t xml:space="preserve"> Underwriting Rule Engine.</w:t>
      </w:r>
    </w:p>
    <w:p>
      <w:pPr>
        <w:pStyle w:val="MdListItem"/>
        <w:numPr>
          <w:ilvl w:val="0"/>
          <w:numId w:val="2"/>
        </w:numPr>
      </w:pPr>
      <w:r>
        <w:rPr>
          <w:rStyle w:val="MdStrong"/>
          <w:b/>
          <w:bCs/>
        </w:rPr>
        <w:t xml:space="preserve">Manual Tasks:</w:t>
      </w:r>
      <w:r>
        <w:t xml:space="preserve"> Physical review of edge-case declarations by a staff physician.</w:t>
      </w:r>
    </w:p>
    <w:p>
      <w:pPr>
        <w:pStyle w:val="MdListItem"/>
        <w:numPr>
          <w:ilvl w:val="0"/>
          <w:numId w:val="2"/>
        </w:numPr>
      </w:pPr>
      <w:r>
        <w:rPr>
          <w:rStyle w:val="MdStrong"/>
          <w:b/>
          <w:bCs/>
        </w:rPr>
        <w:t xml:space="preserve">Average Turnaround Time:</w:t>
      </w:r>
      <w:r>
        <w:t xml:space="preserve"> 3 to 5 Business Days.</w:t>
      </w:r>
    </w:p>
    <w:p>
      <w:pPr>
        <w:pStyle w:val="MdListItem"/>
        <w:numPr>
          <w:ilvl w:val="0"/>
          <w:numId w:val="2"/>
        </w:numPr>
      </w:pPr>
      <w:r>
        <w:rPr>
          <w:rStyle w:val="MdStrong"/>
          <w:b/>
          <w:bCs/>
        </w:rPr>
        <w:t xml:space="preserve">Pain Points &amp; Risks:</w:t>
      </w:r>
      <w:r>
        <w:t xml:space="preserve"> High customer dropout rate (friction) due to the inconvenience of visiting physical laboratories.</w:t>
      </w:r>
    </w:p>
    <w:p>
      <w:pPr>
        <w:pStyle w:val="MdListItem"/>
        <w:numPr>
          <w:ilvl w:val="0"/>
          <w:numId w:val="2"/>
        </w:numPr>
      </w:pPr>
      <w:r>
        <w:rPr>
          <w:rStyle w:val="MdStrong"/>
          <w:b/>
          <w:bCs/>
        </w:rPr>
        <w:t xml:space="preserve">Financial Impact:</w:t>
      </w:r>
      <w:r>
        <w:t xml:space="preserve"> Insurer incurs an upfront cost of 800 EGP to 2,500 EGP per laboratory referral, regardless of whether the prospect ultimately purchases the policy.</w:t>
      </w:r>
    </w:p>
    <w:p>
      <w:pPr>
        <w:pStyle w:val="MdSpace"/>
        <w:spacing w:before="0" w:after="60"/>
      </w:pPr>
    </w:p>
    <w:p>
      <w:pPr>
        <w:pStyle w:val="Heading3"/>
        <w:pStyle w:val="MdHeading3"/>
      </w:pPr>
      <w:r>
        <w:t xml:space="preserve">Stage 3: Policy Issuance &amp; Static Pricing</w:t>
      </w:r>
    </w:p>
    <w:p>
      <w:pPr>
        <w:pStyle w:val="MdListItem"/>
        <w:numPr>
          <w:ilvl w:val="0"/>
          <w:numId w:val="2"/>
        </w:numPr>
      </w:pPr>
      <w:r>
        <w:rPr>
          <w:rStyle w:val="MdStrong"/>
          <w:b/>
          <w:bCs/>
        </w:rPr>
        <w:t xml:space="preserve">Process Owner:</w:t>
      </w:r>
      <w:r>
        <w:t xml:space="preserve"> Underwriting Director / Actuarial Team.</w:t>
      </w:r>
    </w:p>
    <w:p>
      <w:pPr>
        <w:pStyle w:val="MdListItem"/>
        <w:numPr>
          <w:ilvl w:val="0"/>
          <w:numId w:val="2"/>
        </w:numPr>
      </w:pPr>
      <w:r>
        <w:rPr>
          <w:rStyle w:val="MdStrong"/>
          <w:b/>
          <w:bCs/>
        </w:rPr>
        <w:t xml:space="preserve">Inputs:</w:t>
      </w:r>
      <w:r>
        <w:t xml:space="preserve"> Laboratory test results (a single-day clinical snapshot).</w:t>
      </w:r>
    </w:p>
    <w:p>
      <w:pPr>
        <w:pStyle w:val="MdListItem"/>
        <w:numPr>
          <w:ilvl w:val="0"/>
          <w:numId w:val="2"/>
        </w:numPr>
      </w:pPr>
      <w:r>
        <w:rPr>
          <w:rStyle w:val="MdStrong"/>
          <w:b/>
          <w:bCs/>
        </w:rPr>
        <w:t xml:space="preserve">Outputs:</w:t>
      </w:r>
      <w:r>
        <w:t xml:space="preserve"> Activated Insurance Policy with fixed premium.</w:t>
      </w:r>
    </w:p>
    <w:p>
      <w:pPr>
        <w:pStyle w:val="MdListItem"/>
        <w:numPr>
          <w:ilvl w:val="0"/>
          <w:numId w:val="2"/>
        </w:numPr>
      </w:pPr>
      <w:r>
        <w:rPr>
          <w:rStyle w:val="MdStrong"/>
          <w:b/>
          <w:bCs/>
        </w:rPr>
        <w:t xml:space="preserve">Systems Involved:</w:t>
      </w:r>
      <w:r>
        <w:t xml:space="preserve"> Core Insurance Underwriting System.</w:t>
      </w:r>
    </w:p>
    <w:p>
      <w:pPr>
        <w:pStyle w:val="MdListItem"/>
        <w:numPr>
          <w:ilvl w:val="0"/>
          <w:numId w:val="2"/>
        </w:numPr>
      </w:pPr>
      <w:r>
        <w:rPr>
          <w:rStyle w:val="MdStrong"/>
          <w:b/>
          <w:bCs/>
        </w:rPr>
        <w:t xml:space="preserve">Manual Tasks:</w:t>
      </w:r>
      <w:r>
        <w:t xml:space="preserve"> Manual entry of loading percentages based on static actuarial tables.</w:t>
      </w:r>
    </w:p>
    <w:p>
      <w:pPr>
        <w:pStyle w:val="MdListItem"/>
        <w:numPr>
          <w:ilvl w:val="0"/>
          <w:numId w:val="2"/>
        </w:numPr>
      </w:pPr>
      <w:r>
        <w:rPr>
          <w:rStyle w:val="MdStrong"/>
          <w:b/>
          <w:bCs/>
        </w:rPr>
        <w:t xml:space="preserve">Average Turnaround Time:</w:t>
      </w:r>
      <w:r>
        <w:t xml:space="preserve"> 24 Hours.</w:t>
      </w:r>
    </w:p>
    <w:p>
      <w:pPr>
        <w:pStyle w:val="MdListItem"/>
        <w:numPr>
          <w:ilvl w:val="0"/>
          <w:numId w:val="2"/>
        </w:numPr>
      </w:pPr>
      <w:r>
        <w:rPr>
          <w:rStyle w:val="MdStrong"/>
          <w:b/>
          <w:bCs/>
        </w:rPr>
        <w:t xml:space="preserve">Pain Points &amp; Risks:</w:t>
      </w:r>
      <w:r>
        <w:t xml:space="preserve"> The pricing model is entirely static. A compliant chronic patient pays the exact same loaded premium as a highly negligent, volatile chronic patient.</w:t>
      </w:r>
    </w:p>
    <w:p>
      <w:pPr>
        <w:pStyle w:val="MdListItem"/>
        <w:numPr>
          <w:ilvl w:val="0"/>
          <w:numId w:val="2"/>
        </w:numPr>
      </w:pPr>
      <w:r>
        <w:rPr>
          <w:rStyle w:val="MdStrong"/>
          <w:b/>
          <w:bCs/>
        </w:rPr>
        <w:t xml:space="preserve">Financial Impact:</w:t>
      </w:r>
      <w:r>
        <w:t xml:space="preserve"> Complete inability to reward clinical compliance, accelerating the churn of lower-risk individuals.</w:t>
      </w:r>
    </w:p>
    <w:p>
      <w:pPr>
        <w:pStyle w:val="MdSpace"/>
        <w:spacing w:before="0" w:after="60"/>
      </w:pPr>
    </w:p>
    <w:p>
      <w:pPr>
        <w:pStyle w:val="Heading3"/>
        <w:pStyle w:val="MdHeading3"/>
      </w:pPr>
      <w:r>
        <w:t xml:space="preserve">Stage 4: Monthly Chronic Claims Adjudication</w:t>
      </w:r>
    </w:p>
    <w:p>
      <w:pPr>
        <w:pStyle w:val="MdListItem"/>
        <w:numPr>
          <w:ilvl w:val="0"/>
          <w:numId w:val="2"/>
        </w:numPr>
      </w:pPr>
      <w:r>
        <w:rPr>
          <w:rStyle w:val="MdStrong"/>
          <w:b/>
          <w:bCs/>
        </w:rPr>
        <w:t xml:space="preserve">Process Owner:</w:t>
      </w:r>
      <w:r>
        <w:t xml:space="preserve"> TPA Medical Reviewer / Claims Team.</w:t>
      </w:r>
    </w:p>
    <w:p>
      <w:pPr>
        <w:pStyle w:val="MdListItem"/>
        <w:numPr>
          <w:ilvl w:val="0"/>
          <w:numId w:val="2"/>
        </w:numPr>
      </w:pPr>
      <w:r>
        <w:rPr>
          <w:rStyle w:val="MdStrong"/>
          <w:b/>
          <w:bCs/>
        </w:rPr>
        <w:t xml:space="preserve">Inputs:</w:t>
      </w:r>
      <w:r>
        <w:t xml:space="preserve"> Monthly chronic refill request via paper prescription or digital claim upload.</w:t>
      </w:r>
    </w:p>
    <w:p>
      <w:pPr>
        <w:pStyle w:val="MdListItem"/>
        <w:numPr>
          <w:ilvl w:val="0"/>
          <w:numId w:val="2"/>
        </w:numPr>
      </w:pPr>
      <w:r>
        <w:rPr>
          <w:rStyle w:val="MdStrong"/>
          <w:b/>
          <w:bCs/>
        </w:rPr>
        <w:t xml:space="preserve">Outputs:</w:t>
      </w:r>
      <w:r>
        <w:t xml:space="preserve"> Approval/Rejection Code sent to the pharmacy.</w:t>
      </w:r>
    </w:p>
    <w:p>
      <w:pPr>
        <w:pStyle w:val="MdListItem"/>
        <w:numPr>
          <w:ilvl w:val="0"/>
          <w:numId w:val="2"/>
        </w:numPr>
      </w:pPr>
      <w:r>
        <w:rPr>
          <w:rStyle w:val="MdStrong"/>
          <w:b/>
          <w:bCs/>
        </w:rPr>
        <w:t xml:space="preserve">Systems Involved:</w:t>
      </w:r>
      <w:r>
        <w:t xml:space="preserve"> TPA Claims Portal (e.g., MedNet/NextCare system architecture).</w:t>
      </w:r>
    </w:p>
    <w:p>
      <w:pPr>
        <w:pStyle w:val="MdListItem"/>
        <w:numPr>
          <w:ilvl w:val="0"/>
          <w:numId w:val="2"/>
        </w:numPr>
      </w:pPr>
      <w:r>
        <w:rPr>
          <w:rStyle w:val="MdStrong"/>
          <w:b/>
          <w:bCs/>
        </w:rPr>
        <w:t xml:space="preserve">Manual Tasks:</w:t>
      </w:r>
      <w:r>
        <w:t xml:space="preserve"> Medical reviewers manually cross-check the claim against the master policy limitations. Average review time per routine claim: 30 to 120 minutes.</w:t>
      </w:r>
    </w:p>
    <w:p>
      <w:pPr>
        <w:pStyle w:val="MdListItem"/>
        <w:numPr>
          <w:ilvl w:val="0"/>
          <w:numId w:val="2"/>
        </w:numPr>
      </w:pPr>
      <w:r>
        <w:rPr>
          <w:rStyle w:val="MdStrong"/>
          <w:b/>
          <w:bCs/>
        </w:rPr>
        <w:t xml:space="preserve">Pain Points &amp; Risks:</w:t>
      </w:r>
      <w:r>
        <w:t xml:space="preserve"> Massive operational bottlenecks. Reviewers spend 80% of their billable hours approving routine, repetitive chronic claims instead of focusing on high-value complex surgeries.</w:t>
      </w:r>
    </w:p>
    <w:p>
      <w:pPr>
        <w:pStyle w:val="MdListItem"/>
        <w:numPr>
          <w:ilvl w:val="0"/>
          <w:numId w:val="2"/>
        </w:numPr>
      </w:pPr>
      <w:r>
        <w:rPr>
          <w:rStyle w:val="MdStrong"/>
          <w:b/>
          <w:bCs/>
        </w:rPr>
        <w:t xml:space="preserve">Financial Impact:</w:t>
      </w:r>
      <w:r>
        <w:t xml:space="preserve"> Inflated administrative overhead and severe SLA delays, leading to low customer satisfaction scores.</w:t>
      </w:r>
    </w:p>
    <w:p>
      <w:pPr>
        <w:pStyle w:val="MdSpace"/>
        <w:spacing w:before="0" w:after="60"/>
      </w:pPr>
    </w:p>
    <w:p>
      <w:pPr>
        <w:pStyle w:val="Heading3"/>
        <w:pStyle w:val="MdHeading3"/>
      </w:pPr>
      <w:r>
        <w:t xml:space="preserve">Stage 5: Pharmacy Fulfillment &amp; Dispensing</w:t>
      </w:r>
    </w:p>
    <w:p>
      <w:pPr>
        <w:pStyle w:val="MdListItem"/>
        <w:numPr>
          <w:ilvl w:val="0"/>
          <w:numId w:val="2"/>
        </w:numPr>
      </w:pPr>
      <w:r>
        <w:rPr>
          <w:rStyle w:val="MdStrong"/>
          <w:b/>
          <w:bCs/>
        </w:rPr>
        <w:t xml:space="preserve">Process Owner:</w:t>
      </w:r>
      <w:r>
        <w:t xml:space="preserve"> Network Pharmacy Pharmacist.</w:t>
      </w:r>
    </w:p>
    <w:p>
      <w:pPr>
        <w:pStyle w:val="MdListItem"/>
        <w:numPr>
          <w:ilvl w:val="0"/>
          <w:numId w:val="2"/>
        </w:numPr>
      </w:pPr>
      <w:r>
        <w:rPr>
          <w:rStyle w:val="MdStrong"/>
          <w:b/>
          <w:bCs/>
        </w:rPr>
        <w:t xml:space="preserve">Inputs:</w:t>
      </w:r>
      <w:r>
        <w:t xml:space="preserve"> Approved TPA Claim Code.</w:t>
      </w:r>
    </w:p>
    <w:p>
      <w:pPr>
        <w:pStyle w:val="MdListItem"/>
        <w:numPr>
          <w:ilvl w:val="0"/>
          <w:numId w:val="2"/>
        </w:numPr>
      </w:pPr>
      <w:r>
        <w:rPr>
          <w:rStyle w:val="MdStrong"/>
          <w:b/>
          <w:bCs/>
        </w:rPr>
        <w:t xml:space="preserve">Outputs:</w:t>
      </w:r>
      <w:r>
        <w:t xml:space="preserve"> Dispensed monthly medications.</w:t>
      </w:r>
    </w:p>
    <w:p>
      <w:pPr>
        <w:pStyle w:val="MdListItem"/>
        <w:numPr>
          <w:ilvl w:val="0"/>
          <w:numId w:val="2"/>
        </w:numPr>
      </w:pPr>
      <w:r>
        <w:rPr>
          <w:rStyle w:val="MdStrong"/>
          <w:b/>
          <w:bCs/>
        </w:rPr>
        <w:t xml:space="preserve">Systems Involved:</w:t>
      </w:r>
      <w:r>
        <w:t xml:space="preserve"> Pharmacy Point-of-Sale (POS) System.</w:t>
      </w:r>
    </w:p>
    <w:p>
      <w:pPr>
        <w:pStyle w:val="MdListItem"/>
        <w:numPr>
          <w:ilvl w:val="0"/>
          <w:numId w:val="2"/>
        </w:numPr>
      </w:pPr>
      <w:r>
        <w:rPr>
          <w:rStyle w:val="MdStrong"/>
          <w:b/>
          <w:bCs/>
        </w:rPr>
        <w:t xml:space="preserve">Manual Tasks:</w:t>
      </w:r>
      <w:r>
        <w:t xml:space="preserve"> Physical checking of the national ID card (frequently bypassed).</w:t>
      </w:r>
    </w:p>
    <w:p>
      <w:pPr>
        <w:pStyle w:val="MdListItem"/>
        <w:numPr>
          <w:ilvl w:val="0"/>
          <w:numId w:val="2"/>
        </w:numPr>
      </w:pPr>
      <w:r>
        <w:rPr>
          <w:rStyle w:val="MdStrong"/>
          <w:b/>
          <w:bCs/>
        </w:rPr>
        <w:t xml:space="preserve">Pain Points &amp; Risks:</w:t>
      </w:r>
      <w:r>
        <w:t xml:space="preserve"> Zero confirmation of medication adherence. The insurer pays for the invoice, but has no verification if the patient is taking the drug, hoarding it, or selling it.</w:t>
      </w:r>
    </w:p>
    <w:p>
      <w:pPr>
        <w:pStyle w:val="MdListItem"/>
        <w:numPr>
          <w:ilvl w:val="0"/>
          <w:numId w:val="2"/>
        </w:numPr>
      </w:pPr>
      <w:r>
        <w:rPr>
          <w:rStyle w:val="MdStrong"/>
          <w:b/>
          <w:bCs/>
        </w:rPr>
        <w:t xml:space="preserve">Financial Impact:</w:t>
      </w:r>
      <w:r>
        <w:t xml:space="preserve"> Direct capital leakage via pharmacy abuse, duplicate dispensing, and medication fraud.</w:t>
      </w:r>
    </w:p>
    <w:p>
      <w:pPr>
        <w:pStyle w:val="MdSpace"/>
        <w:spacing w:before="0" w:after="60"/>
      </w:pPr>
    </w:p>
    <w:p>
      <w:pPr>
        <w:pStyle w:val="Heading3"/>
        <w:pStyle w:val="MdHeading3"/>
      </w:pPr>
      <w:r>
        <w:t xml:space="preserve">Stage 6: Annual Policy Renewal</w:t>
      </w:r>
    </w:p>
    <w:p>
      <w:pPr>
        <w:pStyle w:val="MdListItem"/>
        <w:numPr>
          <w:ilvl w:val="0"/>
          <w:numId w:val="2"/>
        </w:numPr>
      </w:pPr>
      <w:r>
        <w:rPr>
          <w:rStyle w:val="MdStrong"/>
          <w:b/>
          <w:bCs/>
        </w:rPr>
        <w:t xml:space="preserve">Process Owner:</w:t>
      </w:r>
      <w:r>
        <w:t xml:space="preserve"> Renewal Underwriting Team.</w:t>
      </w:r>
    </w:p>
    <w:p>
      <w:pPr>
        <w:pStyle w:val="MdListItem"/>
        <w:numPr>
          <w:ilvl w:val="0"/>
          <w:numId w:val="2"/>
        </w:numPr>
      </w:pPr>
      <w:r>
        <w:rPr>
          <w:rStyle w:val="MdStrong"/>
          <w:b/>
          <w:bCs/>
        </w:rPr>
        <w:t xml:space="preserve">Inputs:</w:t>
      </w:r>
      <w:r>
        <w:t xml:space="preserve"> Total financial claims expenditure over the past 12 months.</w:t>
      </w:r>
    </w:p>
    <w:p>
      <w:pPr>
        <w:pStyle w:val="MdListItem"/>
        <w:numPr>
          <w:ilvl w:val="0"/>
          <w:numId w:val="2"/>
        </w:numPr>
      </w:pPr>
      <w:r>
        <w:rPr>
          <w:rStyle w:val="MdStrong"/>
          <w:b/>
          <w:bCs/>
        </w:rPr>
        <w:t xml:space="preserve">Outputs:</w:t>
      </w:r>
      <w:r>
        <w:t xml:space="preserve"> Adjusted Annual Premium Renewal Offer.</w:t>
      </w:r>
    </w:p>
    <w:p>
      <w:pPr>
        <w:pStyle w:val="MdListItem"/>
        <w:numPr>
          <w:ilvl w:val="0"/>
          <w:numId w:val="2"/>
        </w:numPr>
      </w:pPr>
      <w:r>
        <w:rPr>
          <w:rStyle w:val="MdStrong"/>
          <w:b/>
          <w:bCs/>
        </w:rPr>
        <w:t xml:space="preserve">Systems Involved:</w:t>
      </w:r>
      <w:r>
        <w:t xml:space="preserve"> Core Insurance Database.</w:t>
      </w:r>
    </w:p>
    <w:p>
      <w:pPr>
        <w:pStyle w:val="MdListItem"/>
        <w:numPr>
          <w:ilvl w:val="0"/>
          <w:numId w:val="2"/>
        </w:numPr>
      </w:pPr>
      <w:r>
        <w:rPr>
          <w:rStyle w:val="MdStrong"/>
          <w:b/>
          <w:bCs/>
        </w:rPr>
        <w:t xml:space="preserve">Manual Tasks:</w:t>
      </w:r>
      <w:r>
        <w:t xml:space="preserve"> Retrospective actuarial loss calculation.</w:t>
      </w:r>
    </w:p>
    <w:p>
      <w:pPr>
        <w:pStyle w:val="MdListItem"/>
        <w:numPr>
          <w:ilvl w:val="0"/>
          <w:numId w:val="2"/>
        </w:numPr>
      </w:pPr>
      <w:r>
        <w:rPr>
          <w:rStyle w:val="MdStrong"/>
          <w:b/>
          <w:bCs/>
        </w:rPr>
        <w:t xml:space="preserve">Average Turnaround Time:</w:t>
      </w:r>
      <w:r>
        <w:t xml:space="preserve"> 5 to 7 Days before expiration.</w:t>
      </w:r>
    </w:p>
    <w:p>
      <w:pPr>
        <w:pStyle w:val="MdListItem"/>
        <w:numPr>
          <w:ilvl w:val="0"/>
          <w:numId w:val="2"/>
        </w:numPr>
      </w:pPr>
      <w:r>
        <w:rPr>
          <w:rStyle w:val="MdStrong"/>
          <w:b/>
          <w:bCs/>
        </w:rPr>
        <w:t xml:space="preserve">Pain Points &amp; Risks:</w:t>
      </w:r>
      <w:r>
        <w:t xml:space="preserve"> Entirely blind renewal. Pricing adjustments are purely reactive to past financial loss rather than predictive of future clinical risk.</w:t>
      </w:r>
    </w:p>
    <w:p>
      <w:pPr>
        <w:pStyle w:val="MdListItem"/>
        <w:numPr>
          <w:ilvl w:val="0"/>
          <w:numId w:val="2"/>
        </w:numPr>
      </w:pPr>
      <w:r>
        <w:rPr>
          <w:rStyle w:val="MdStrong"/>
          <w:b/>
          <w:bCs/>
        </w:rPr>
        <w:t xml:space="preserve">Financial Impact:</w:t>
      </w:r>
      <w:r>
        <w:t xml:space="preserve"> Triggers Adverse Selection. Healthy individuals facing arbitrary premium increases switch to competitors, while the most critical, high-expense chronic patients remain, permanently damaging the portfolio's profitability.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Current Chronic Medication Workflow</w:t>
      </w:r>
    </w:p>
    <w:p>
      <w:pPr>
        <w:pStyle w:val="MdParagraph"/>
      </w:pPr>
      <w:r>
        <w:t xml:space="preserve">The granular monthly process for chronic medication refills is the single largest operational bottleneck and cost-driver within the health insurance enterprise: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[المريض] ──(زيارة عيادة شهرياً)──► [طبيب الشبكة] ──(روشتة ورقية)──► [الصيدلية]</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[موافقة الصيدلي] ◄──(30-120 دقيقة)── [طبيب الـ TPA المراجع] ◄──(طلب موافقة)</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[صرف الدواء] ──(غياب كامل لداتا الالتزام)──► [نزيف مالي/مخاطر صحية كارثية]</w:t>
      </w:r>
    </w:p>
    <w:p>
      <w:pPr>
        <w:pStyle w:val="MdSpace"/>
        <w:spacing w:before="0" w:after="60"/>
      </w:pPr>
    </w:p>
    <w:p>
      <w:pPr>
        <w:pStyle w:val="MdParagraph"/>
      </w:pPr>
      <w:r>
        <w:t xml:space="preserve">Every single month, this loop forces a redundant touchpoint:</w:t>
      </w:r>
    </w:p>
    <w:p>
      <w:pPr>
        <w:pStyle w:val="MdSpace"/>
        <w:spacing w:before="0" w:after="60"/>
      </w:pPr>
    </w:p>
    <w:p>
      <w:pPr>
        <w:pStyle w:val="MdListItem"/>
        <w:numPr>
          <w:ilvl w:val="0"/>
          <w:numId w:val="2"/>
        </w:numPr>
      </w:pPr>
      <w:r>
        <w:t xml:space="preserve">The patient must physically visit a network doctor purely to renew a repetitive prescription.</w:t>
      </w:r>
    </w:p>
    <w:p>
      <w:pPr>
        <w:pStyle w:val="MdListItem"/>
        <w:numPr>
          <w:ilvl w:val="0"/>
          <w:numId w:val="2"/>
        </w:numPr>
      </w:pPr>
      <w:r>
        <w:t xml:space="preserve">The pharmacy submits the approval request to the TPA.</w:t>
      </w:r>
    </w:p>
    <w:p>
      <w:pPr>
        <w:pStyle w:val="MdListItem"/>
        <w:numPr>
          <w:ilvl w:val="0"/>
          <w:numId w:val="2"/>
        </w:numPr>
      </w:pPr>
      <w:r>
        <w:t xml:space="preserve">A highly paid TPA medical reviewer spends valuable time verifying an identical claim from last month.</w:t>
      </w:r>
    </w:p>
    <w:p>
      <w:pPr>
        <w:pStyle w:val="MdListItem"/>
        <w:numPr>
          <w:ilvl w:val="0"/>
          <w:numId w:val="2"/>
        </w:numPr>
      </w:pPr>
      <w:r>
        <w:t xml:space="preserve">The medication is dispensed with zero closed-loop data feedback on patient adherence or biological stability.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Enterprise Operational Pain Points</w:t>
      </w:r>
    </w:p>
    <w:p>
      <w:pPr>
        <w:pStyle w:val="MdParagraph"/>
      </w:pPr>
      <w:r>
        <w:t xml:space="preserve">The systemic gaps within the current ecosystem can be synthesized across the following enterprise dimensions:</w:t>
      </w:r>
    </w:p>
    <w:p>
      <w:pPr>
        <w:pStyle w:val="MdSpace"/>
        <w:spacing w:before="0" w:after="60"/>
      </w:pPr>
    </w:p>
    <w:p>
      <w:pPr>
        <w:pStyle w:val="MdListItem"/>
        <w:numPr>
          <w:ilvl w:val="0"/>
          <w:numId w:val="2"/>
        </w:numPr>
      </w:pPr>
      <w:r>
        <w:rPr>
          <w:rStyle w:val="MdStrong"/>
          <w:b/>
          <w:bCs/>
        </w:rPr>
        <w:t xml:space="preserve">Medical Team Problems:</w:t>
      </w:r>
      <w:r>
        <w:t xml:space="preserve"> Staff physicians suffer from cognitive fatigue, spending 80% of their time conducting low-value, repetitive approvals for stable chronic patients.</w:t>
      </w:r>
    </w:p>
    <w:p>
      <w:pPr>
        <w:pStyle w:val="MdListItem"/>
        <w:numPr>
          <w:ilvl w:val="0"/>
          <w:numId w:val="2"/>
        </w:numPr>
      </w:pPr>
      <w:r>
        <w:rPr>
          <w:rStyle w:val="MdStrong"/>
          <w:b/>
          <w:bCs/>
        </w:rPr>
        <w:t xml:space="preserve">Claims &amp; TPA Problems:</w:t>
      </w:r>
      <w:r>
        <w:t xml:space="preserve"> Extreme vulnerability to "Doctor Shopping" (patients collecting identical medications from multiple doctors within the same cycle) due to latency in TPA database synchronization.</w:t>
      </w:r>
    </w:p>
    <w:p>
      <w:pPr>
        <w:pStyle w:val="MdListItem"/>
        <w:numPr>
          <w:ilvl w:val="0"/>
          <w:numId w:val="2"/>
        </w:numPr>
      </w:pPr>
      <w:r>
        <w:rPr>
          <w:rStyle w:val="MdStrong"/>
          <w:b/>
          <w:bCs/>
        </w:rPr>
        <w:t xml:space="preserve">Pharmacy Problems:</w:t>
      </w:r>
      <w:r>
        <w:t xml:space="preserve"> Absence of anti-fraud controls at the POS, enabling medication hoarding and unauthorized drug distribution to uninsured relatives.</w:t>
      </w:r>
    </w:p>
    <w:p>
      <w:pPr>
        <w:pStyle w:val="MdListItem"/>
        <w:numPr>
          <w:ilvl w:val="0"/>
          <w:numId w:val="2"/>
        </w:numPr>
      </w:pPr>
      <w:r>
        <w:rPr>
          <w:rStyle w:val="MdStrong"/>
          <w:b/>
          <w:bCs/>
        </w:rPr>
        <w:t xml:space="preserve">Management Problems:</w:t>
      </w:r>
      <w:r>
        <w:t xml:space="preserve"> Severe inflation of Service Level Agreements (SLAs), leading to corporate client complaints and increased individual customer churn.</w:t>
      </w:r>
    </w:p>
    <w:p>
      <w:pPr>
        <w:pStyle w:val="MdListItem"/>
        <w:numPr>
          <w:ilvl w:val="0"/>
          <w:numId w:val="2"/>
        </w:numPr>
      </w:pPr>
      <w:r>
        <w:rPr>
          <w:rStyle w:val="MdStrong"/>
          <w:b/>
          <w:bCs/>
        </w:rPr>
        <w:t xml:space="preserve">Technology Problems:</w:t>
      </w:r>
      <w:r>
        <w:t xml:space="preserve"> Legacy systems generate disconnected data snapshots rather than structured, multi-year longitudinal health data profiles.</w:t>
      </w:r>
    </w:p>
    <w:p>
      <w:pPr>
        <w:pStyle w:val="MdListItem"/>
        <w:numPr>
          <w:ilvl w:val="0"/>
          <w:numId w:val="2"/>
        </w:numPr>
      </w:pPr>
      <w:r>
        <w:rPr>
          <w:rStyle w:val="MdStrong"/>
          <w:b/>
          <w:bCs/>
        </w:rPr>
        <w:t xml:space="preserve">Compliance &amp; Legal Problems:</w:t>
      </w:r>
      <w:r>
        <w:t xml:space="preserve"> High vulnerability to regulatory penalties due to the absence of a unified framework that enforces local data residency laws during multi-party data transfers.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Financial Leakage Analysis &amp; Impact</w:t>
      </w:r>
    </w:p>
    <w:p>
      <w:pPr>
        <w:pStyle w:val="MdParagraph"/>
      </w:pPr>
      <w:r>
        <w:t xml:space="preserve">The direct quantitative consequences of this unmonitored workflow show clear financial bleeding across all key metrics:</w:t>
      </w:r>
    </w:p>
    <w:p>
      <w:pPr>
        <w:pStyle w:val="MdSpace"/>
        <w:spacing w:before="0" w:after="60"/>
      </w:pPr>
    </w:p>
    <w:p>
      <w:pPr>
        <w:pStyle w:val="MdListItem"/>
        <w:numPr>
          <w:ilvl w:val="0"/>
          <w:numId w:val="2"/>
        </w:numPr>
      </w:pPr>
      <w:r>
        <w:rPr>
          <w:rStyle w:val="MdStrong"/>
          <w:b/>
          <w:bCs/>
        </w:rPr>
        <w:t xml:space="preserve">Medical Loss Ratio (MLR):</w:t>
      </w:r>
      <w:r>
        <w:t xml:space="preserve"> Sustained unmanaged chronic conditions push the individual portfolio loss ratio to an unsustainable 85% - 91%.</w:t>
      </w:r>
    </w:p>
    <w:p>
      <w:pPr>
        <w:pStyle w:val="MdListItem"/>
        <w:numPr>
          <w:ilvl w:val="0"/>
          <w:numId w:val="2"/>
        </w:numPr>
      </w:pPr>
      <w:r>
        <w:rPr>
          <w:rStyle w:val="MdStrong"/>
          <w:b/>
          <w:bCs/>
        </w:rPr>
        <w:t xml:space="preserve">Non-Adherence Financial Burden:</w:t>
      </w:r>
      <w:r>
        <w:t xml:space="preserve"> Statistical health plan data proves that each non-adherent chronic patient costs the insurer an additional $15.64 per month in avoidable healthcare utilization.</w:t>
      </w:r>
    </w:p>
    <w:p>
      <w:pPr>
        <w:pStyle w:val="MdListItem"/>
        <w:numPr>
          <w:ilvl w:val="0"/>
          <w:numId w:val="2"/>
        </w:numPr>
      </w:pPr>
      <w:r>
        <w:rPr>
          <w:rStyle w:val="MdStrong"/>
          <w:b/>
          <w:bCs/>
        </w:rPr>
        <w:t xml:space="preserve">Catastrophic Hospitalization Spike:</w:t>
      </w:r>
      <w:r>
        <w:t xml:space="preserve"> Absent real-time vital tracking, unmonitored hypertensive and diabetic patients suffer sudden clinical deteriorations, driving up ICU admissions—the single largest invoice category for Egyptian insurers.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Strategic Gap Analysis</w:t>
      </w:r>
    </w:p>
    <w:p>
      <w:pPr>
        <w:pStyle w:val="MdParagraph"/>
      </w:pPr>
      <w:r>
        <w:t xml:space="preserve">To achieve financial stability, the enterprise must transition from a reactive posture to a predictive data ecosystem:</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Dimension</w:t>
            </w:r>
          </w:p>
        </w:tc>
        <w:tc>
          <w:tcPr>
            <w:tcMar>
              <w:top w:type="dxa" w:w="100"/>
              <w:left w:type="dxa" w:w="120"/>
              <w:bottom w:type="dxa" w:w="100"/>
              <w:right w:type="dxa" w:w="120"/>
            </w:tcMar>
            <w:vAlign w:val="center"/>
          </w:tcPr>
          <w:p>
            <w:pPr>
              <w:pStyle w:val="MdTableHeader"/>
            </w:pPr>
            <w:r>
              <w:t xml:space="preserve">Current Legacy State (As-Is)</w:t>
            </w:r>
          </w:p>
        </w:tc>
        <w:tc>
          <w:tcPr>
            <w:tcBorders>
              <w:right w:val="none"/>
            </w:tcBorders>
            <w:tcMar>
              <w:top w:type="dxa" w:w="100"/>
              <w:left w:type="dxa" w:w="120"/>
              <w:bottom w:type="dxa" w:w="100"/>
              <w:right w:type="dxa" w:w="120"/>
            </w:tcMar>
            <w:vAlign w:val="center"/>
          </w:tcPr>
          <w:p>
            <w:pPr>
              <w:pStyle w:val="MdTableHeader"/>
            </w:pPr>
            <w:r>
              <w:t xml:space="preserve">Ideal Future State (To-Be)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Data Nature</w:t>
            </w:r>
          </w:p>
        </w:tc>
        <w:tc>
          <w:tcPr>
            <w:tcMar>
              <w:top w:type="dxa" w:w="80"/>
              <w:left w:type="dxa" w:w="120"/>
              <w:bottom w:type="dxa" w:w="80"/>
              <w:right w:type="dxa" w:w="120"/>
            </w:tcMar>
            <w:vAlign w:val="center"/>
          </w:tcPr>
          <w:p>
            <w:pPr>
              <w:pStyle w:val="MdTableCell"/>
            </w:pPr>
            <w:r>
              <w:t xml:space="preserve">Isolated, static, single-day snapshots.</w:t>
            </w:r>
          </w:p>
        </w:tc>
        <w:tc>
          <w:tcPr>
            <w:tcBorders>
              <w:right w:val="none"/>
            </w:tcBorders>
            <w:tcMar>
              <w:top w:type="dxa" w:w="80"/>
              <w:left w:type="dxa" w:w="120"/>
              <w:bottom w:type="dxa" w:w="80"/>
              <w:right w:type="dxa" w:w="120"/>
            </w:tcMar>
            <w:vAlign w:val="center"/>
          </w:tcPr>
          <w:p>
            <w:pPr>
              <w:pStyle w:val="MdTableCell"/>
            </w:pPr>
            <w:r>
              <w:t xml:space="preserve">Connected, behavioral, longitudinal tracking.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Risk Strategy</w:t>
            </w:r>
          </w:p>
        </w:tc>
        <w:tc>
          <w:tcPr>
            <w:tcMar>
              <w:top w:type="dxa" w:w="80"/>
              <w:left w:type="dxa" w:w="120"/>
              <w:bottom w:type="dxa" w:w="80"/>
              <w:right w:type="dxa" w:w="120"/>
            </w:tcMar>
            <w:vAlign w:val="center"/>
          </w:tcPr>
          <w:p>
            <w:pPr>
              <w:pStyle w:val="MdTableCell"/>
            </w:pPr>
            <w:r>
              <w:t xml:space="preserve">Reactive: Action taken after the ICU invoice arrives.</w:t>
            </w:r>
          </w:p>
        </w:tc>
        <w:tc>
          <w:tcPr>
            <w:tcBorders>
              <w:right w:val="none"/>
            </w:tcBorders>
            <w:tcMar>
              <w:top w:type="dxa" w:w="80"/>
              <w:left w:type="dxa" w:w="120"/>
              <w:bottom w:type="dxa" w:w="80"/>
              <w:right w:type="dxa" w:w="120"/>
            </w:tcMar>
            <w:vAlign w:val="center"/>
          </w:tcPr>
          <w:p>
            <w:pPr>
              <w:pStyle w:val="MdTableCell"/>
            </w:pPr>
            <w:r>
              <w:t xml:space="preserve">Predictive: Early intervention before clinical deterioration.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Operational Adjudication</w:t>
            </w:r>
          </w:p>
        </w:tc>
        <w:tc>
          <w:tcPr>
            <w:tcMar>
              <w:top w:type="dxa" w:w="80"/>
              <w:left w:type="dxa" w:w="120"/>
              <w:bottom w:type="dxa" w:w="80"/>
              <w:right w:type="dxa" w:w="120"/>
            </w:tcMar>
            <w:vAlign w:val="center"/>
          </w:tcPr>
          <w:p>
            <w:pPr>
              <w:pStyle w:val="MdTableCell"/>
            </w:pPr>
            <w:r>
              <w:t xml:space="preserve">100% manual human review for all routine claims.</w:t>
            </w:r>
          </w:p>
        </w:tc>
        <w:tc>
          <w:tcPr>
            <w:tcBorders>
              <w:right w:val="none"/>
            </w:tcBorders>
            <w:tcMar>
              <w:top w:type="dxa" w:w="80"/>
              <w:left w:type="dxa" w:w="120"/>
              <w:bottom w:type="dxa" w:w="80"/>
              <w:right w:type="dxa" w:w="120"/>
            </w:tcMar>
            <w:vAlign w:val="center"/>
          </w:tcPr>
          <w:p>
            <w:pPr>
              <w:pStyle w:val="MdTableCell"/>
            </w:pPr>
            <w:r>
              <w:t xml:space="preserve">Automated AI triage with human-in-the-loop fallback.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Portfolio Pricing</w:t>
            </w:r>
          </w:p>
        </w:tc>
        <w:tc>
          <w:tcPr>
            <w:tcMar>
              <w:top w:type="dxa" w:w="80"/>
              <w:left w:type="dxa" w:w="120"/>
              <w:bottom w:type="dxa" w:w="80"/>
              <w:right w:type="dxa" w:w="120"/>
            </w:tcMar>
            <w:vAlign w:val="center"/>
          </w:tcPr>
          <w:p>
            <w:pPr>
              <w:pStyle w:val="MdTableCell"/>
            </w:pPr>
            <w:r>
              <w:t xml:space="preserve">Rigid pricing calculated strictly by age brackets.</w:t>
            </w:r>
          </w:p>
        </w:tc>
        <w:tc>
          <w:tcPr>
            <w:tcBorders>
              <w:right w:val="none"/>
            </w:tcBorders>
            <w:tcMar>
              <w:top w:type="dxa" w:w="80"/>
              <w:left w:type="dxa" w:w="120"/>
              <w:bottom w:type="dxa" w:w="80"/>
              <w:right w:type="dxa" w:w="120"/>
            </w:tcMar>
            <w:vAlign w:val="center"/>
          </w:tcPr>
          <w:p>
            <w:pPr>
              <w:pStyle w:val="MdTableCell"/>
            </w:pPr>
            <w:r>
              <w:t xml:space="preserve">Dynamic pricing adjusted by documented clinical adherence.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Fraud Mitigation</w:t>
            </w:r>
          </w:p>
        </w:tc>
        <w:tc>
          <w:tcPr>
            <w:tcBorders>
              <w:bottom w:val="single" w:color="E1E4E8" w:sz="4"/>
            </w:tcBorders>
            <w:tcMar>
              <w:top w:type="dxa" w:w="80"/>
              <w:left w:type="dxa" w:w="120"/>
              <w:bottom w:type="dxa" w:w="80"/>
              <w:right w:type="dxa" w:w="120"/>
            </w:tcMar>
            <w:vAlign w:val="center"/>
          </w:tcPr>
          <w:p>
            <w:pPr>
              <w:pStyle w:val="MdTableCell"/>
            </w:pPr>
            <w:r>
              <w:t xml:space="preserve">Post-facto forensic audits (expensive and slow).</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Automated real-time algorithmic fraud blocks.</w:t>
            </w:r>
          </w:p>
        </w:tc>
      </w:tr>
    </w:tbl>
    <w:p>
      <w:pPr>
        <w:pStyle w:val="MdHr"/>
        <w:pBdr>
          <w:bottom w:val="single" w:color="auto" w:sz="6" w:space="1"/>
        </w:pBdr>
      </w:pPr>
    </w:p>
    <w:p>
      <w:pPr>
        <w:pStyle w:val="MdSpace"/>
        <w:spacing w:before="0" w:after="60"/>
      </w:pPr>
    </w:p>
    <w:p>
      <w:pPr>
        <w:pStyle w:val="Heading2"/>
        <w:pStyle w:val="MdHeading2"/>
      </w:pPr>
      <w:r>
        <w:t xml:space="preserve">8. Introducing RiskGuard Enterprise Platform</w:t>
      </w:r>
    </w:p>
    <w:p>
      <w:pPr>
        <w:pStyle w:val="MdParagraph"/>
      </w:pPr>
      <w:r>
        <w:t xml:space="preserve">RiskGuard is not a standalone consumer application; it is an AI-powered SaaS middleware platform that integrates seamlessly between the insurer's core database, the TPA adjudication network, and real-time patient biometrics.</w:t>
      </w:r>
    </w:p>
    <w:p>
      <w:pPr>
        <w:pStyle w:val="MdSpace"/>
        <w:spacing w:before="0" w:after="60"/>
      </w:pPr>
    </w:p>
    <w:p>
      <w:pPr>
        <w:pStyle w:val="MdParagraph"/>
      </w:pPr>
      <w:r>
        <w:t xml:space="preserve">RiskGuard functions as an intelligent clinical gatekeeper, automating 70% of routine chronic approvals while executing real-time fraud mitigation and continuous risk underwriting.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9. RiskGuard Integrated Target Architecture (To-Be Workflow)</w:t>
      </w:r>
    </w:p>
    <w:p>
      <w:pPr>
        <w:pStyle w:val="MdParagraph"/>
      </w:pPr>
      <w:r>
        <w:t xml:space="preserve">RiskGuard repositions the governance engine directly into the claims flow, transforming the linear chain into an automated, risk-adjusted loop:</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[صرف الدواء الشهري للعميل]</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(تطبيق محرك المخاطر: Micro-Survey + OCR مسح حي للشاشة)</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[RiskGuard Middleware Engine] ◄──(مطابقة فورية بالـ Baseline المرجعي)</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[تصنيف أخضر]: موافقة تلقائية فورية ──► (تكامل الـ TPA والـ APIs) ──► (كود صرف رقمي E-Prescription)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 [تصنيف أصفر/أحمر]: تحويل فوري لـ ──► [لوحة تحكم الطبيب المراجع] ──► (اتخاذ القرار البشري النهائي)</w:t>
      </w:r>
    </w:p>
    <w:p>
      <w:pPr>
        <w:pStyle w:val="MdSpace"/>
        <w:spacing w:before="0" w:after="60"/>
      </w:pPr>
    </w:p>
    <w:p>
      <w:pPr>
        <w:pStyle w:val="Heading3"/>
        <w:pStyle w:val="MdHeading3"/>
      </w:pPr>
      <w:r>
        <w:t xml:space="preserve">The 4-Step Governed Execution Flow:</w:t>
      </w:r>
    </w:p>
    <w:p>
      <w:pPr>
        <w:pStyle w:val="MdListItem"/>
        <w:numPr>
          <w:ilvl w:val="0"/>
          <w:numId w:val="3"/>
        </w:numPr>
      </w:pPr>
      <w:r>
        <w:rPr>
          <w:rStyle w:val="MdStrong"/>
          <w:b/>
          <w:bCs/>
        </w:rPr>
        <w:t xml:space="preserve">Automated Input &amp; Validation:</w:t>
      </w:r>
      <w:r>
        <w:t xml:space="preserve"> The patient initiates the monthly refill request by executing a 60-second digital Micro-Survey paired with a live camera scan of their medical device (blood pressure/glucose meter). The built-in Optical Character Recognition (OCR) engine automatically extracts and digitizes the metrics, bypassing manual data entry.</w:t>
      </w:r>
    </w:p>
    <w:p>
      <w:pPr>
        <w:pStyle w:val="MdListItem"/>
        <w:numPr>
          <w:ilvl w:val="0"/>
          <w:numId w:val="3"/>
        </w:numPr>
      </w:pPr>
      <w:r>
        <w:rPr>
          <w:rStyle w:val="MdStrong"/>
          <w:b/>
          <w:bCs/>
        </w:rPr>
        <w:t xml:space="preserve">Algorithmic Fraud &amp; Clinical Review:</w:t>
      </w:r>
      <w:r>
        <w:t xml:space="preserve"> The RiskGuard engine cross-references the OCR metrics against the patient's historical Baseline Medical Fingerprint. If the system identifies a Biological Variance Anomaly (e.g., identical clinical numbers over consecutive days, indicating data fabrication or measuring a healthy relative), it triggers an immediate fraud alert.</w:t>
      </w:r>
    </w:p>
    <w:p>
      <w:pPr>
        <w:pStyle w:val="MdListItem"/>
        <w:numPr>
          <w:ilvl w:val="0"/>
          <w:numId w:val="3"/>
        </w:numPr>
      </w:pPr>
      <w:r>
        <w:rPr>
          <w:rStyle w:val="MdStrong"/>
          <w:b/>
          <w:bCs/>
        </w:rPr>
        <w:t xml:space="preserve">AI Triage &amp; Human-in-the-Loop Adjudication:</w:t>
      </w:r>
    </w:p>
    <w:p>
      <w:pPr>
        <w:pStyle w:val="MdListItem"/>
        <w:numPr>
          <w:ilvl w:val="0"/>
          <w:numId w:val="2"/>
        </w:numPr>
      </w:pPr>
      <w:r>
        <w:rPr>
          <w:rStyle w:val="MdStrong"/>
          <w:b/>
          <w:bCs/>
        </w:rPr>
        <w:t xml:space="preserve">Green (Stable):</w:t>
      </w:r>
      <w:r>
        <w:t xml:space="preserve"> Automates the approval, passing it directly to the TPA systems within seconds.</w:t>
      </w:r>
    </w:p>
    <w:p>
      <w:pPr>
        <w:pStyle w:val="MdListItem"/>
        <w:numPr>
          <w:ilvl w:val="0"/>
          <w:numId w:val="2"/>
        </w:numPr>
      </w:pPr>
      <w:r>
        <w:rPr>
          <w:rStyle w:val="MdStrong"/>
          <w:b/>
          <w:bCs/>
        </w:rPr>
        <w:t xml:space="preserve">Yellow/Red (Volatile/Suspicious):</w:t>
      </w:r>
      <w:r>
        <w:t xml:space="preserve"> Routes the claim to the Medical Reviewer’s Dashboard with highlighted anomalies for fast human validation.</w:t>
      </w:r>
    </w:p>
    <w:p>
      <w:pPr>
        <w:pStyle w:val="MdSpace"/>
        <w:spacing w:before="0" w:after="60"/>
      </w:pPr>
    </w:p>
    <w:p>
      <w:pPr>
        <w:pStyle w:val="MdListItem"/>
        <w:numPr>
          <w:ilvl w:val="0"/>
          <w:numId w:val="3"/>
        </w:numPr>
      </w:pPr>
      <w:r>
        <w:rPr>
          <w:rStyle w:val="MdStrong"/>
          <w:b/>
          <w:bCs/>
        </w:rPr>
        <w:t xml:space="preserve">Instant Digital Fulfillment:</w:t>
      </w:r>
      <w:r>
        <w:t xml:space="preserve"> Upon human or automated approval, RiskGuard’s APIs instantly transmit an authenticated E-Prescription Voucher code to the patient’s mobile device and the contracted pharmacy network database, allowing for immediate paperless dispensing.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10. The Ultimate Enterprise Matrix</w:t>
      </w:r>
    </w:p>
    <w:p>
      <w:pPr>
        <w:pStyle w:val="MdParagraph"/>
      </w:pPr>
      <w:r>
        <w:t xml:space="preserve">A side-by-side comparison of the operational performance metrics: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Performance Dimension</w:t>
            </w:r>
          </w:p>
        </w:tc>
        <w:tc>
          <w:tcPr>
            <w:tcMar>
              <w:top w:type="dxa" w:w="100"/>
              <w:left w:type="dxa" w:w="120"/>
              <w:bottom w:type="dxa" w:w="100"/>
              <w:right w:type="dxa" w:w="120"/>
            </w:tcMar>
            <w:vAlign w:val="center"/>
          </w:tcPr>
          <w:p>
            <w:pPr>
              <w:pStyle w:val="MdTableHeader"/>
            </w:pPr>
            <w:r>
              <w:t xml:space="preserve">Legacy Core Insurance Architecture</w:t>
            </w:r>
          </w:p>
        </w:tc>
        <w:tc>
          <w:tcPr>
            <w:tcBorders>
              <w:right w:val="none"/>
            </w:tcBorders>
            <w:tcMar>
              <w:top w:type="dxa" w:w="100"/>
              <w:left w:type="dxa" w:w="120"/>
              <w:bottom w:type="dxa" w:w="100"/>
              <w:right w:type="dxa" w:w="120"/>
            </w:tcMar>
            <w:vAlign w:val="center"/>
          </w:tcPr>
          <w:p>
            <w:pPr>
              <w:pStyle w:val="MdTableHeader"/>
            </w:pPr>
            <w:r>
              <w:t xml:space="preserve">RiskGuard Enterprise Ecosystem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Data Integrity</w:t>
            </w:r>
          </w:p>
        </w:tc>
        <w:tc>
          <w:tcPr>
            <w:tcMar>
              <w:top w:type="dxa" w:w="80"/>
              <w:left w:type="dxa" w:w="120"/>
              <w:bottom w:type="dxa" w:w="80"/>
              <w:right w:type="dxa" w:w="120"/>
            </w:tcMar>
            <w:vAlign w:val="center"/>
          </w:tcPr>
          <w:p>
            <w:pPr>
              <w:pStyle w:val="MdTableCell"/>
            </w:pPr>
            <w:r>
              <w:t xml:space="preserve">Paper invoices highly vulnerable to manual manipulation and forgery.</w:t>
            </w:r>
          </w:p>
        </w:tc>
        <w:tc>
          <w:tcPr>
            <w:tcBorders>
              <w:right w:val="none"/>
            </w:tcBorders>
            <w:tcMar>
              <w:top w:type="dxa" w:w="80"/>
              <w:left w:type="dxa" w:w="120"/>
              <w:bottom w:type="dxa" w:w="80"/>
              <w:right w:type="dxa" w:w="120"/>
            </w:tcMar>
            <w:vAlign w:val="center"/>
          </w:tcPr>
          <w:p>
            <w:pPr>
              <w:pStyle w:val="MdTableCell"/>
            </w:pPr>
            <w:r>
              <w:t xml:space="preserve">Encrypted digital streams locked by live OCR screen verification.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Risk Assessment</w:t>
            </w:r>
          </w:p>
        </w:tc>
        <w:tc>
          <w:tcPr>
            <w:tcMar>
              <w:top w:type="dxa" w:w="80"/>
              <w:left w:type="dxa" w:w="120"/>
              <w:bottom w:type="dxa" w:w="80"/>
              <w:right w:type="dxa" w:w="120"/>
            </w:tcMar>
            <w:vAlign w:val="center"/>
          </w:tcPr>
          <w:p>
            <w:pPr>
              <w:pStyle w:val="MdTableCell"/>
            </w:pPr>
            <w:r>
              <w:t xml:space="preserve">Static, retroactive actuarial calculations conducted once a year.</w:t>
            </w:r>
          </w:p>
        </w:tc>
        <w:tc>
          <w:tcPr>
            <w:tcBorders>
              <w:right w:val="none"/>
            </w:tcBorders>
            <w:tcMar>
              <w:top w:type="dxa" w:w="80"/>
              <w:left w:type="dxa" w:w="120"/>
              <w:bottom w:type="dxa" w:w="80"/>
              <w:right w:type="dxa" w:w="120"/>
            </w:tcMar>
            <w:vAlign w:val="center"/>
          </w:tcPr>
          <w:p>
            <w:pPr>
              <w:pStyle w:val="MdTableCell"/>
            </w:pPr>
            <w:r>
              <w:t xml:space="preserve">Continuous, forward-looking Dynamic Risk Scoring updated monthly.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Review Efficiency</w:t>
            </w:r>
          </w:p>
        </w:tc>
        <w:tc>
          <w:tcPr>
            <w:tcMar>
              <w:top w:type="dxa" w:w="80"/>
              <w:left w:type="dxa" w:w="120"/>
              <w:bottom w:type="dxa" w:w="80"/>
              <w:right w:type="dxa" w:w="120"/>
            </w:tcMar>
            <w:vAlign w:val="center"/>
          </w:tcPr>
          <w:p>
            <w:pPr>
              <w:pStyle w:val="MdTableCell"/>
            </w:pPr>
            <w:r>
              <w:t xml:space="preserve">30 to 120 minutes per claim due to manual invoice matching.</w:t>
            </w:r>
          </w:p>
        </w:tc>
        <w:tc>
          <w:tcPr>
            <w:tcBorders>
              <w:right w:val="none"/>
            </w:tcBorders>
            <w:tcMar>
              <w:top w:type="dxa" w:w="80"/>
              <w:left w:type="dxa" w:w="120"/>
              <w:bottom w:type="dxa" w:w="80"/>
              <w:right w:type="dxa" w:w="120"/>
            </w:tcMar>
            <w:vAlign w:val="center"/>
          </w:tcPr>
          <w:p>
            <w:pPr>
              <w:pStyle w:val="MdTableCell"/>
            </w:pPr>
            <w:r>
              <w:t xml:space="preserve">Under 5 seconds for Green-flagged automated approvals.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Underwriting Quality</w:t>
            </w:r>
          </w:p>
        </w:tc>
        <w:tc>
          <w:tcPr>
            <w:tcMar>
              <w:top w:type="dxa" w:w="80"/>
              <w:left w:type="dxa" w:w="120"/>
              <w:bottom w:type="dxa" w:w="80"/>
              <w:right w:type="dxa" w:w="120"/>
            </w:tcMar>
            <w:vAlign w:val="center"/>
          </w:tcPr>
          <w:p>
            <w:pPr>
              <w:pStyle w:val="MdTableCell"/>
            </w:pPr>
            <w:r>
              <w:t xml:space="preserve">Blind renewals leading to adverse selection and margin erosion.</w:t>
            </w:r>
          </w:p>
        </w:tc>
        <w:tc>
          <w:tcPr>
            <w:tcBorders>
              <w:right w:val="none"/>
            </w:tcBorders>
            <w:tcMar>
              <w:top w:type="dxa" w:w="80"/>
              <w:left w:type="dxa" w:w="120"/>
              <w:bottom w:type="dxa" w:w="80"/>
              <w:right w:type="dxa" w:w="120"/>
            </w:tcMar>
            <w:vAlign w:val="center"/>
          </w:tcPr>
          <w:p>
            <w:pPr>
              <w:pStyle w:val="MdTableCell"/>
            </w:pPr>
            <w:r>
              <w:t xml:space="preserve">Data-driven renewals backed by a 12-month clinical history report.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Fraud Mitigation</w:t>
            </w:r>
          </w:p>
        </w:tc>
        <w:tc>
          <w:tcPr>
            <w:tcMar>
              <w:top w:type="dxa" w:w="80"/>
              <w:left w:type="dxa" w:w="120"/>
              <w:bottom w:type="dxa" w:w="80"/>
              <w:right w:type="dxa" w:w="120"/>
            </w:tcMar>
            <w:vAlign w:val="center"/>
          </w:tcPr>
          <w:p>
            <w:pPr>
              <w:pStyle w:val="MdTableCell"/>
            </w:pPr>
            <w:r>
              <w:t xml:space="preserve">Reactive audits; high losses from pharmacy abuse.</w:t>
            </w:r>
          </w:p>
        </w:tc>
        <w:tc>
          <w:tcPr>
            <w:tcBorders>
              <w:right w:val="none"/>
            </w:tcBorders>
            <w:tcMar>
              <w:top w:type="dxa" w:w="80"/>
              <w:left w:type="dxa" w:w="120"/>
              <w:bottom w:type="dxa" w:w="80"/>
              <w:right w:type="dxa" w:w="120"/>
            </w:tcMar>
            <w:vAlign w:val="center"/>
          </w:tcPr>
          <w:p>
            <w:pPr>
              <w:pStyle w:val="MdTableCell"/>
            </w:pPr>
            <w:r>
              <w:t xml:space="preserve">Proactive prevention via Biological Variance &amp; Logic Traps.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Clinical Outcomes</w:t>
            </w:r>
          </w:p>
        </w:tc>
        <w:tc>
          <w:tcPr>
            <w:tcBorders>
              <w:bottom w:val="single" w:color="E1E4E8" w:sz="4"/>
            </w:tcBorders>
            <w:tcMar>
              <w:top w:type="dxa" w:w="80"/>
              <w:left w:type="dxa" w:w="120"/>
              <w:bottom w:type="dxa" w:w="80"/>
              <w:right w:type="dxa" w:w="120"/>
            </w:tcMar>
            <w:vAlign w:val="center"/>
          </w:tcPr>
          <w:p>
            <w:pPr>
              <w:pStyle w:val="MdTableCell"/>
            </w:pPr>
            <w:r>
              <w:t xml:space="preserve">Zero visibility; high rates of emergency room spikes.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Documented stabilization of blood pressure and HbA1c profiles.</w:t>
            </w:r>
          </w:p>
        </w:tc>
      </w:tr>
    </w:tbl>
    <w:p>
      <w:pPr>
        <w:pStyle w:val="MdHr"/>
        <w:pBdr>
          <w:bottom w:val="single" w:color="auto" w:sz="6" w:space="1"/>
        </w:pBdr>
      </w:pPr>
    </w:p>
    <w:p>
      <w:pPr>
        <w:pStyle w:val="MdSpace"/>
        <w:spacing w:before="0" w:after="60"/>
      </w:pPr>
    </w:p>
    <w:p>
      <w:pPr>
        <w:pStyle w:val="Heading2"/>
        <w:pStyle w:val="MdHeading2"/>
      </w:pPr>
      <w:r>
        <w:t xml:space="preserve">11. Projected Return on Investment (ROI)</w:t>
      </w:r>
    </w:p>
    <w:p>
      <w:pPr>
        <w:pStyle w:val="MdParagraph"/>
      </w:pPr>
      <w:r>
        <w:t xml:space="preserve">Financial modeling based on regional insurtech benchmarks establishes highly defensive outcomes for an active portfolio of 10,000 chronic individual contracts:</w:t>
      </w:r>
    </w:p>
    <w:p>
      <w:pPr>
        <w:pStyle w:val="MdSpace"/>
        <w:spacing w:before="0" w:after="60"/>
      </w:pPr>
    </w:p>
    <w:p>
      <w:pPr>
        <w:pStyle w:val="MdListItem"/>
        <w:numPr>
          <w:ilvl w:val="0"/>
          <w:numId w:val="2"/>
        </w:numPr>
      </w:pPr>
      <w:r>
        <w:rPr>
          <w:rStyle w:val="MdStrong"/>
          <w:b/>
          <w:bCs/>
        </w:rPr>
        <w:t xml:space="preserve">Administrative Cost Reduction:</w:t>
      </w:r>
      <w:r>
        <w:t xml:space="preserve"> Automated triage reallocates 70% of staff physician time away from routine claims, generating a direct 45% reduction in claims processing administrative overhead.</w:t>
      </w:r>
    </w:p>
    <w:p>
      <w:pPr>
        <w:pStyle w:val="MdListItem"/>
        <w:numPr>
          <w:ilvl w:val="0"/>
          <w:numId w:val="2"/>
        </w:numPr>
      </w:pPr>
      <w:r>
        <w:rPr>
          <w:rStyle w:val="MdStrong"/>
          <w:b/>
          <w:bCs/>
        </w:rPr>
        <w:t xml:space="preserve">Medical Claims Savings:</w:t>
      </w:r>
      <w:r>
        <w:t xml:space="preserve"> Early warning triggers reduce catastrophic secondary emergency admissions by 20%, generating an annual savings of $1,280 per high-risk participant.</w:t>
      </w:r>
    </w:p>
    <w:p>
      <w:pPr>
        <w:pStyle w:val="MdListItem"/>
        <w:numPr>
          <w:ilvl w:val="0"/>
          <w:numId w:val="2"/>
        </w:numPr>
      </w:pPr>
      <w:r>
        <w:rPr>
          <w:rStyle w:val="MdStrong"/>
          <w:b/>
          <w:bCs/>
        </w:rPr>
        <w:t xml:space="preserve">Portfolio Retention Optimization:</w:t>
      </w:r>
      <w:r>
        <w:t xml:space="preserve"> Transitioning to data-driven renewals eliminates arbitrary pricing shocks for compliant, healthy individuals, cutting customer churn by 15% within the first 12 months.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12. Technical Architecture &amp; System Integration</w:t>
      </w:r>
    </w:p>
    <w:p>
      <w:pPr>
        <w:pStyle w:val="MdParagraph"/>
      </w:pPr>
      <w:r>
        <w:t xml:space="preserve">RiskGuard functions as a non-disruptive middleware engine, integrating into the existing corporate technology stack via a secure API-first framework:</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[انتقال البيانات المشفرة E2EE] ◄── [تطبيق المستخدم النهائي / الأجهزة الطبية]</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RiskGuard AI Governance Engine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Core OCR Digitization Module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Biological Variance Check Model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Dynamic Risk Scoring Database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[Secure RESTful APIs Integration Layer]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Corporate Infrastructure Integration Protocols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TPA API Gateways (NextCare / MedNet / Prime Health Architectures)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Primary Insurance Core Database System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Pharmacy Chain POS Network Protocols (Digital Vouchers Integration)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w:t>
      </w:r>
    </w:p>
    <w:p>
      <w:pPr>
        <w:pStyle w:val="MdSpace"/>
        <w:spacing w:before="0" w:after="60"/>
      </w:pPr>
    </w:p>
    <w:p>
      <w:pPr>
        <w:pStyle w:val="MdParagraph"/>
      </w:pPr>
      <w:r>
        <w:t xml:space="preserve">**Data Security &amp; Local Sovereignty Compliance:**In strict compliance with the Egyptian Personal Data Protection Law No. 151 of 2020, all health metrics and biometric signatures undergo End-to-End Encryption (E2EE) during transit and at rest. All core databases and AI models are hosted on secure, local, FRA-certified servers within the geographic borders of the Arab Republic of Egypt, ensuring total regulatory compliance and zero cross-border data risk.</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13. Agile Implementation Roadmap</w:t>
      </w:r>
    </w:p>
    <w:p>
      <w:pPr>
        <w:pStyle w:val="MdParagraph"/>
      </w:pPr>
      <w:r>
        <w:t xml:space="preserve">The enterprise deployment strategy is structured across 4 distinct phases to ensure zero operational disruption to daily claims flows: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[Phase 1: Week 1-4] ──► [Phase 2: Week 5-12] ──► [Phase 3: Month 4-6] ──► [Phase 4: Month 7+]</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API Core Systems        Controlled Pilot          Financial Audit        Full Enterprise</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Integration          (500-1,000 Patients)       &amp; MLR Validation           Rollout</w:t>
      </w:r>
    </w:p>
    <w:p>
      <w:pPr>
        <w:pStyle w:val="MdSpace"/>
        <w:spacing w:before="0" w:after="60"/>
      </w:pPr>
    </w:p>
    <w:p>
      <w:pPr>
        <w:pStyle w:val="MdListItem"/>
        <w:numPr>
          <w:ilvl w:val="0"/>
          <w:numId w:val="2"/>
        </w:numPr>
      </w:pPr>
      <w:r>
        <w:rPr>
          <w:rStyle w:val="MdStrong"/>
          <w:b/>
          <w:bCs/>
        </w:rPr>
        <w:t xml:space="preserve">Phase 1: Core Systems Integration (Weeks 1–4):</w:t>
      </w:r>
      <w:r>
        <w:t xml:space="preserve"> API mapping between RiskGuard, the primary insurer's core database, and target TPA staging environments.</w:t>
      </w:r>
    </w:p>
    <w:p>
      <w:pPr>
        <w:pStyle w:val="MdListItem"/>
        <w:numPr>
          <w:ilvl w:val="0"/>
          <w:numId w:val="2"/>
        </w:numPr>
      </w:pPr>
      <w:r>
        <w:rPr>
          <w:rStyle w:val="MdStrong"/>
          <w:b/>
          <w:bCs/>
        </w:rPr>
        <w:t xml:space="preserve">Phase 2: Controlled Sandbox Pilot (Weeks 5–12):</w:t>
      </w:r>
      <w:r>
        <w:t xml:space="preserve"> Launch of the platform across a controlled cohort of 500 to 1,000 chronic individual policyholders to validate OCR calibration and triage accuracy.</w:t>
      </w:r>
    </w:p>
    <w:p>
      <w:pPr>
        <w:pStyle w:val="MdListItem"/>
        <w:numPr>
          <w:ilvl w:val="0"/>
          <w:numId w:val="2"/>
        </w:numPr>
      </w:pPr>
      <w:r>
        <w:rPr>
          <w:rStyle w:val="MdStrong"/>
          <w:b/>
          <w:bCs/>
        </w:rPr>
        <w:t xml:space="preserve">Phase 3: Financial &amp; Clinical Audit (Months 4–6):</w:t>
      </w:r>
      <w:r>
        <w:t xml:space="preserve"> Independent validation of the pilot data against historical claims to confirm processing speed optimizations and loss ratio impact.</w:t>
      </w:r>
    </w:p>
    <w:p>
      <w:pPr>
        <w:pStyle w:val="MdListItem"/>
        <w:numPr>
          <w:ilvl w:val="0"/>
          <w:numId w:val="2"/>
        </w:numPr>
      </w:pPr>
      <w:r>
        <w:rPr>
          <w:rStyle w:val="MdStrong"/>
          <w:b/>
          <w:bCs/>
        </w:rPr>
        <w:t xml:space="preserve">Phase 4: Full Portfolio Enterprise Rollout (Month 7+):</w:t>
      </w:r>
      <w:r>
        <w:t xml:space="preserve"> Complete system activation across the entire individual chronic insurance portfolio, integrating automated dynamic pricing modules for upcoming renewals.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14. Enterprise Risk Mitigation Framework</w:t>
      </w:r>
    </w:p>
    <w:p>
      <w:pPr>
        <w:pStyle w:val="MdParagraph"/>
      </w:pPr>
      <w:r>
        <w:t xml:space="preserve">To ensure absolute stability, potential deployment risks have been proactively addressed:</w:t>
      </w:r>
    </w:p>
    <w:p>
      <w:pPr>
        <w:pStyle w:val="MdSpace"/>
        <w:spacing w:before="0" w:after="60"/>
      </w:pPr>
    </w:p>
    <w:p>
      <w:pPr>
        <w:pStyle w:val="MdListItem"/>
        <w:numPr>
          <w:ilvl w:val="0"/>
          <w:numId w:val="2"/>
        </w:numPr>
      </w:pPr>
      <w:r>
        <w:rPr>
          <w:rStyle w:val="MdStrong"/>
          <w:b/>
          <w:bCs/>
        </w:rPr>
        <w:t xml:space="preserve">Legal Risk (Implied Endorsements):</w:t>
      </w:r>
      <w:r>
        <w:t xml:space="preserve"> References to third-party entities (e.g., NextCare, MedNet, Prime Health) represent ecosystem architectural compatibility protocols and target integration endpoints, ensuring zero unauthorized brand endorsement risks.</w:t>
      </w:r>
    </w:p>
    <w:p>
      <w:pPr>
        <w:pStyle w:val="MdListItem"/>
        <w:numPr>
          <w:ilvl w:val="0"/>
          <w:numId w:val="2"/>
        </w:numPr>
      </w:pPr>
      <w:r>
        <w:rPr>
          <w:rStyle w:val="MdStrong"/>
          <w:b/>
          <w:bCs/>
        </w:rPr>
        <w:t xml:space="preserve">Clinical Liability Risk:</w:t>
      </w:r>
      <w:r>
        <w:t xml:space="preserve"> RiskGuard functions strictly as an AI-powered triage and prioritization engine. The platform never executes independent medical rejections; it acts as an auxiliary diagnostic tool, enforcing a strict Human-in-the-Loop compliance protocol where final clinical adjudication remains with the insurer's licensed medical directors.</w:t>
      </w:r>
    </w:p>
    <w:p>
      <w:pPr>
        <w:pStyle w:val="MdListItem"/>
        <w:numPr>
          <w:ilvl w:val="0"/>
          <w:numId w:val="2"/>
        </w:numPr>
      </w:pPr>
      <w:r>
        <w:rPr>
          <w:rStyle w:val="MdStrong"/>
          <w:b/>
          <w:bCs/>
        </w:rPr>
        <w:t xml:space="preserve">Ethical &amp; Anti-Discrimination Risk:</w:t>
      </w:r>
      <w:r>
        <w:t xml:space="preserve"> To safeguard against demographic technology barriers (e.g., elderly users or connectivity outages), the system integrates Caregiver Multi-Accounts and automatic routing to a phone-based human verification desk (Yellow Triage) if technical difficulties occur. This architecture prevents arbitrary coverage penalties, neutralizing discrimination claims.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15. Conclusion</w:t>
      </w:r>
    </w:p>
    <w:p>
      <w:pPr>
        <w:pStyle w:val="MdParagraph"/>
      </w:pPr>
      <w:r>
        <w:t xml:space="preserve">RiskGuard provides a critical financial and operational intervention for the Egyptian health insurance sector. By replacing blind, retrospective claims management with a real-time, data-driven governance framework, the platform directly addresses the structural leaks that degrade individual portfolio margins. We invite the Executive Committee to schedule an introductory 30-minute technical session to review our API integration documentation and outline the financial parameters for a localized Phase 2 pilot deployment.</w:t>
      </w:r>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2026-07-30T23:37:45.892Z</dcterms:created>
  <dcterms:modified xsi:type="dcterms:W3CDTF">2026-07-30T23:37:45.892Z</dcterms:modified>
</cp:coreProperties>
</file>

<file path=docProps/custom.xml><?xml version="1.0" encoding="utf-8"?>
<Properties xmlns="http://schemas.openxmlformats.org/officeDocument/2006/custom-properties" xmlns:vt="http://schemas.openxmlformats.org/officeDocument/2006/docPropsVTypes"/>
</file>