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D3557"/>
          <w:sz w:val="56"/>
        </w:rPr>
        <w:t>Trial Store Impact Analysis Report</w:t>
      </w:r>
    </w:p>
    <w:p>
      <w:pPr>
        <w:jc w:val="center"/>
      </w:pPr>
      <w:r>
        <w:rPr>
          <w:color w:val="457B9D"/>
          <w:sz w:val="28"/>
        </w:rPr>
        <w:t>Control Store Selection &amp; Performance Comparison</w:t>
        <w:br/>
        <w:t>Stores 77, 86, and 88</w:t>
      </w:r>
    </w:p>
    <w:p/>
    <w:p>
      <w:pPr>
        <w:jc w:val="center"/>
      </w:pPr>
      <w:r>
        <w:rPr>
          <w:color w:val="666666"/>
          <w:sz w:val="22"/>
        </w:rPr>
        <w:t>Data Period: July 2018 – June 2019</w:t>
      </w:r>
    </w:p>
    <w:p>
      <w:r>
        <w:br w:type="page"/>
      </w:r>
    </w:p>
    <w:p>
      <w:pPr>
        <w:pStyle w:val="Heading1"/>
      </w:pPr>
      <w:r>
        <w:rPr>
          <w:color w:val="1D3557"/>
        </w:rPr>
        <w:t>Table of Contents</w:t>
      </w:r>
    </w:p>
    <w:p>
      <w:pPr>
        <w:spacing w:after="40"/>
      </w:pPr>
      <w:r>
        <w:rPr>
          <w:b/>
        </w:rPr>
        <w:t>1. Executive Summary</w:t>
      </w:r>
    </w:p>
    <w:p>
      <w:pPr>
        <w:spacing w:after="40"/>
      </w:pPr>
      <w:r>
        <w:rPr>
          <w:b/>
        </w:rPr>
        <w:t>2. Methodology</w:t>
      </w:r>
    </w:p>
    <w:p>
      <w:pPr>
        <w:spacing w:after="40"/>
      </w:pPr>
      <w:r>
        <w:t xml:space="preserve">    2.1 Control Store Selection (Pearson Correlation + Magnitude Distance)</w:t>
      </w:r>
    </w:p>
    <w:p>
      <w:pPr>
        <w:spacing w:after="40"/>
      </w:pPr>
      <w:r>
        <w:t xml:space="preserve">    2.2 Trial Assessment (Scaling, Percentage Difference, Confidence Intervals)</w:t>
      </w:r>
    </w:p>
    <w:p>
      <w:pPr>
        <w:spacing w:after="40"/>
      </w:pPr>
      <w:r>
        <w:rPr>
          <w:b/>
        </w:rPr>
        <w:t>3. Control Store Selection Results</w:t>
      </w:r>
    </w:p>
    <w:p>
      <w:pPr>
        <w:spacing w:after="40"/>
      </w:pPr>
      <w:r>
        <w:rPr>
          <w:b/>
        </w:rPr>
        <w:t>4. Pre-Trial Validation</w:t>
      </w:r>
    </w:p>
    <w:p>
      <w:pPr>
        <w:spacing w:after="40"/>
      </w:pPr>
      <w:r>
        <w:rPr>
          <w:b/>
        </w:rPr>
        <w:t>5. Trial Period Assessment</w:t>
      </w:r>
    </w:p>
    <w:p>
      <w:pPr>
        <w:spacing w:after="40"/>
      </w:pPr>
      <w:r>
        <w:t xml:space="preserve">    5.1 Trial Store 77 vs Control Store 17</w:t>
      </w:r>
    </w:p>
    <w:p>
      <w:pPr>
        <w:spacing w:after="40"/>
      </w:pPr>
      <w:r>
        <w:t xml:space="preserve">    5.2 Trial Store 86 vs Control Store 138</w:t>
      </w:r>
    </w:p>
    <w:p>
      <w:pPr>
        <w:spacing w:after="40"/>
      </w:pPr>
      <w:r>
        <w:t xml:space="preserve">    5.3 Trial Store 88 vs Control Store 201</w:t>
      </w:r>
    </w:p>
    <w:p>
      <w:pPr>
        <w:spacing w:after="40"/>
      </w:pPr>
      <w:r>
        <w:rPr>
          <w:b/>
        </w:rPr>
        <w:t>6. Post-Trial Impact Assessment</w:t>
      </w:r>
    </w:p>
    <w:p>
      <w:pPr>
        <w:spacing w:after="40"/>
      </w:pPr>
      <w:r>
        <w:rPr>
          <w:b/>
        </w:rPr>
        <w:t>7. Summary &amp; Conclusion</w:t>
      </w:r>
    </w:p>
    <w:p>
      <w:pPr>
        <w:spacing w:after="40"/>
      </w:pPr>
      <w:r>
        <w:rPr>
          <w:b/>
        </w:rPr>
        <w:t>8. Appendix: Detailed Charts</w:t>
      </w:r>
    </w:p>
    <w:p>
      <w:r>
        <w:br w:type="page"/>
      </w:r>
    </w:p>
    <w:p>
      <w:pPr>
        <w:pStyle w:val="Heading1"/>
      </w:pPr>
      <w:r>
        <w:rPr>
          <w:color w:val="1D3557"/>
        </w:rPr>
        <w:t>1. Executive Summary</w:t>
      </w:r>
    </w:p>
    <w:p>
      <w:r>
        <w:t>This report analyses the impact of a trial intervention conducted across three trial stores (77, 86, and 88) from February to April 2019. A matched control store was selected for each trial store using Pearson correlation and magnitude distance on pre-trial monthly data (July 2018 – January 2019). The analysis evaluates two key metrics:</w:t>
        <w:br/>
        <w:br/>
        <w:t xml:space="preserve">  • Total Sales Revenue ($)</w:t>
        <w:br/>
        <w:t xml:space="preserve">  • Number of Customers</w:t>
        <w:br/>
        <w:br/>
        <w:t>For each metric, the control store's pre-trial performance was scaled to match the trial store, and the percentage difference was monitored across the trial and post-trial periods. Statistical significance was assessed using 95% confidence intervals derived from pre-trial standard deviation of percentage differences.</w:t>
        <w:br/>
        <w:br/>
        <w:t>The trial period (Feb–Apr 2019) and post-trial period (May–Jun 2019) are clearly marked on all charts to facilitate visual assessment of the trial's impact and persistence.</w:t>
      </w:r>
    </w:p>
    <w:p>
      <w:r>
        <w:br w:type="page"/>
      </w:r>
    </w:p>
    <w:p>
      <w:pPr>
        <w:pStyle w:val="Heading1"/>
      </w:pPr>
      <w:r>
        <w:rPr>
          <w:color w:val="1D3557"/>
        </w:rPr>
        <w:t>2. Methodology</w:t>
      </w:r>
    </w:p>
    <w:p>
      <w:pPr>
        <w:pStyle w:val="Heading2"/>
      </w:pPr>
      <w:r>
        <w:rPr>
          <w:color w:val="1D3557"/>
        </w:rPr>
        <w:t>2.1 Control Store Selection</w:t>
      </w:r>
    </w:p>
    <w:p>
      <w:r>
        <w:t>Control stores were selected by scoring each candidate store against the trial store using two complementary metrics computed over the pre-trial period:</w:t>
        <w:br/>
        <w:br/>
        <w:t>Pearson Correlation — Measures the linear trend similarity between the trial store and each candidate across monthly total sales and number of customers. Higher correlation indicates the stores follow similar patterns over time.</w:t>
        <w:br/>
        <w:br/>
        <w:t>Magnitude Distance — Measures how close the absolute values are between the two stores, normalised to a 0–1 scale. This ensures stores with similar magnitudes (not just similar trends) are preferred.</w:t>
        <w:br/>
        <w:br/>
        <w:t>The two scores (each for total sales and number of customers) were combined using a weighted average to produce a final ranking score. The candidate with the highest score was selected as the control store.</w:t>
      </w:r>
    </w:p>
    <w:p>
      <w:pPr>
        <w:pStyle w:val="Heading2"/>
      </w:pPr>
      <w:r>
        <w:rPr>
          <w:color w:val="1D3557"/>
        </w:rPr>
        <w:t>2.2 Trial Assessment Method</w:t>
      </w:r>
    </w:p>
    <w:p>
      <w:r>
        <w:t>Following the template methodology:</w:t>
        <w:br/>
        <w:br/>
        <w:t>1. Scaling — The control store's pre-trial values were scaled to match the trial store's pre-trial totals using a scaling factor:</w:t>
        <w:br/>
        <w:t xml:space="preserve">    Scaling Factor = Σ(trial pre-trial values) / Σ(control pre-trial values)</w:t>
        <w:br/>
        <w:br/>
        <w:t>2. Percentage Difference — For each month, the percentage difference between the scaled control and the trial store was calculated:</w:t>
        <w:br/>
        <w:t xml:space="preserve">    % Diff = (Scaled Control − Trial) / Scaled Control</w:t>
        <w:br/>
        <w:br/>
        <w:t>3. Confidence Intervals — The standard deviation of the percentage difference during the pre-trial period was computed. The 95% confidence interval was approximated as:</w:t>
        <w:br/>
        <w:t xml:space="preserve">    Upper/Lower Bound = Control Value × (1 ± 2 × StdDev)</w:t>
        <w:br/>
        <w:br/>
        <w:t>4. Statistical Significance — If the trial store's value lies outside the 5th to 95th percentile confidence band, the difference is considered statistically significant.</w:t>
      </w:r>
    </w:p>
    <w:p>
      <w:r>
        <w:br w:type="page"/>
      </w:r>
    </w:p>
    <w:p>
      <w:pPr>
        <w:pStyle w:val="Heading1"/>
      </w:pPr>
      <w:r>
        <w:rPr>
          <w:color w:val="1D3557"/>
        </w:rPr>
        <w:t>3. Control Store Selection Results</w:t>
      </w:r>
    </w:p>
    <w:p>
      <w:r>
        <w:t>The following control stores were selected for each trial store based on the highest combined correlation and magnitude distance score: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D3557"/>
          </w:tcPr>
          <w:p>
            <w:pPr>
              <w:jc w:val="center"/>
            </w:pPr>
            <w:r>
              <w:rPr>
                <w:rFonts w:ascii="Calibri" w:hAnsi="Calibri"/>
                <w:b/>
                <w:color w:val="FFFFFF"/>
                <w:sz w:val="19"/>
              </w:rPr>
              <w:t>Trial Store</w:t>
            </w:r>
          </w:p>
        </w:tc>
        <w:tc>
          <w:tcPr>
            <w:tcW w:type="dxa" w:w="3024"/>
            <w:shd w:fill="1D3557"/>
          </w:tcPr>
          <w:p>
            <w:pPr>
              <w:jc w:val="center"/>
            </w:pPr>
            <w:r>
              <w:rPr>
                <w:rFonts w:ascii="Calibri" w:hAnsi="Calibri"/>
                <w:b/>
                <w:color w:val="FFFFFF"/>
                <w:sz w:val="19"/>
              </w:rPr>
              <w:t>Selected Control</w:t>
            </w:r>
          </w:p>
        </w:tc>
        <w:tc>
          <w:tcPr>
            <w:tcW w:type="dxa" w:w="3024"/>
            <w:shd w:fill="1D3557"/>
          </w:tcPr>
          <w:p>
            <w:pPr>
              <w:jc w:val="center"/>
            </w:pPr>
            <w:r>
              <w:rPr>
                <w:rFonts w:ascii="Calibri" w:hAnsi="Calibri"/>
                <w:b/>
                <w:color w:val="FFFFFF"/>
                <w:sz w:val="19"/>
              </w:rPr>
              <w:t>Rationale</w:t>
            </w:r>
          </w:p>
        </w:tc>
      </w:tr>
      <w:tr>
        <w:tc>
          <w:tcPr>
            <w:tcW w:type="dxa" w:w="3024"/>
          </w:tcPr>
          <w:p>
            <w:pPr>
              <w:jc w:val="center"/>
            </w:pPr>
            <w:r>
              <w:rPr>
                <w:rFonts w:ascii="Calibri" w:hAnsi="Calibri"/>
                <w:sz w:val="19"/>
              </w:rPr>
              <w:t>77</w:t>
            </w:r>
          </w:p>
        </w:tc>
        <w:tc>
          <w:tcPr>
            <w:tcW w:type="dxa" w:w="3024"/>
          </w:tcPr>
          <w:p>
            <w:pPr>
              <w:jc w:val="center"/>
            </w:pPr>
            <w:r>
              <w:rPr>
                <w:rFonts w:ascii="Calibri" w:hAnsi="Calibri"/>
                <w:sz w:val="19"/>
              </w:rPr>
              <w:t>17</w:t>
            </w:r>
          </w:p>
        </w:tc>
        <w:tc>
          <w:tcPr>
            <w:tcW w:type="dxa" w:w="3024"/>
          </w:tcPr>
          <w:p>
            <w:pPr>
              <w:jc w:val="center"/>
            </w:pPr>
            <w:r>
              <w:rPr>
                <w:rFonts w:ascii="Calibri" w:hAnsi="Calibri"/>
                <w:sz w:val="19"/>
              </w:rPr>
              <w:t>Highest combined score for sales trend similarity and customer count magnitude</w:t>
            </w:r>
          </w:p>
        </w:tc>
      </w:tr>
      <w:tr>
        <w:tc>
          <w:tcPr>
            <w:tcW w:type="dxa" w:w="3024"/>
          </w:tcPr>
          <w:p>
            <w:pPr>
              <w:jc w:val="center"/>
            </w:pPr>
            <w:r>
              <w:rPr>
                <w:rFonts w:ascii="Calibri" w:hAnsi="Calibri"/>
                <w:sz w:val="19"/>
              </w:rPr>
              <w:t>86</w:t>
            </w:r>
          </w:p>
        </w:tc>
        <w:tc>
          <w:tcPr>
            <w:tcW w:type="dxa" w:w="3024"/>
          </w:tcPr>
          <w:p>
            <w:pPr>
              <w:jc w:val="center"/>
            </w:pPr>
            <w:r>
              <w:rPr>
                <w:rFonts w:ascii="Calibri" w:hAnsi="Calibri"/>
                <w:sz w:val="19"/>
              </w:rPr>
              <w:t>138</w:t>
            </w:r>
          </w:p>
        </w:tc>
        <w:tc>
          <w:tcPr>
            <w:tcW w:type="dxa" w:w="3024"/>
          </w:tcPr>
          <w:p>
            <w:pPr>
              <w:jc w:val="center"/>
            </w:pPr>
            <w:r>
              <w:rPr>
                <w:rFonts w:ascii="Calibri" w:hAnsi="Calibri"/>
                <w:sz w:val="19"/>
              </w:rPr>
              <w:t>Most correlated trend in total sales with closest customer count match</w:t>
            </w:r>
          </w:p>
        </w:tc>
      </w:tr>
      <w:tr>
        <w:tc>
          <w:tcPr>
            <w:tcW w:type="dxa" w:w="3024"/>
          </w:tcPr>
          <w:p>
            <w:pPr>
              <w:jc w:val="center"/>
            </w:pPr>
            <w:r>
              <w:rPr>
                <w:rFonts w:ascii="Calibri" w:hAnsi="Calibri"/>
                <w:sz w:val="19"/>
              </w:rPr>
              <w:t>88</w:t>
            </w:r>
          </w:p>
        </w:tc>
        <w:tc>
          <w:tcPr>
            <w:tcW w:type="dxa" w:w="3024"/>
          </w:tcPr>
          <w:p>
            <w:pPr>
              <w:jc w:val="center"/>
            </w:pPr>
            <w:r>
              <w:rPr>
                <w:rFonts w:ascii="Calibri" w:hAnsi="Calibri"/>
                <w:sz w:val="19"/>
              </w:rPr>
              <w:t>201</w:t>
            </w:r>
          </w:p>
        </w:tc>
        <w:tc>
          <w:tcPr>
            <w:tcW w:type="dxa" w:w="3024"/>
          </w:tcPr>
          <w:p>
            <w:pPr>
              <w:jc w:val="center"/>
            </w:pPr>
            <w:r>
              <w:rPr>
                <w:rFonts w:ascii="Calibri" w:hAnsi="Calibri"/>
                <w:sz w:val="19"/>
              </w:rPr>
              <w:t>Best overall match across both sales and customer metrics</w:t>
            </w:r>
          </w:p>
        </w:tc>
      </w:tr>
    </w:tbl>
    <w:p/>
    <w:p>
      <w:r>
        <w:br w:type="page"/>
      </w:r>
    </w:p>
    <w:p>
      <w:pPr>
        <w:pStyle w:val="Heading1"/>
      </w:pPr>
      <w:r>
        <w:rPr>
          <w:color w:val="1D3557"/>
        </w:rPr>
        <w:t>4. Pre-Trial Validation</w:t>
      </w:r>
    </w:p>
    <w:p>
      <w:r>
        <w:t>Before assessing trial impact, we visually verify that each control store's pre-trial performance closely tracks its paired trial store. The line charts below show both stores across the full 12-month period, with the trial period (Feb–Apr) shaded in light red and the post-trial period (May–Jun) shaded in light orange.</w:t>
      </w:r>
    </w:p>
    <w:p>
      <w:pPr>
        <w:pStyle w:val="Heading2"/>
      </w:pPr>
      <w:r>
        <w:rPr>
          <w:color w:val="1D3557"/>
        </w:rPr>
        <w:t>Store 77 vs Control 17</w:t>
      </w:r>
    </w:p>
    <w:p>
      <w:pPr>
        <w:jc w:val="center"/>
      </w:pPr>
      <w:r>
        <w:drawing>
          <wp:inline xmlns:a="http://schemas.openxmlformats.org/drawingml/2006/main" xmlns:pic="http://schemas.openxmlformats.org/drawingml/2006/picture">
            <wp:extent cx="5029200" cy="2465947"/>
            <wp:docPr id="1" name="Picture 1"/>
            <wp:cNvGraphicFramePr>
              <a:graphicFrameLocks noChangeAspect="1"/>
            </wp:cNvGraphicFramePr>
            <a:graphic>
              <a:graphicData uri="http://schemas.openxmlformats.org/drawingml/2006/picture">
                <pic:pic>
                  <pic:nvPicPr>
                    <pic:cNvPr id="0" name="77_vs_17_totSales_validation.png"/>
                    <pic:cNvPicPr/>
                  </pic:nvPicPr>
                  <pic:blipFill>
                    <a:blip r:embed="rId9"/>
                    <a:stretch>
                      <a:fillRect/>
                    </a:stretch>
                  </pic:blipFill>
                  <pic:spPr>
                    <a:xfrm>
                      <a:off x="0" y="0"/>
                      <a:ext cx="5029200" cy="2465947"/>
                    </a:xfrm>
                    <a:prstGeom prst="rect"/>
                  </pic:spPr>
                </pic:pic>
              </a:graphicData>
            </a:graphic>
          </wp:inline>
        </w:drawing>
      </w:r>
    </w:p>
    <w:p>
      <w:pPr>
        <w:jc w:val="center"/>
      </w:pPr>
      <w:r>
        <w:rPr>
          <w:i/>
          <w:color w:val="666666"/>
          <w:sz w:val="18"/>
        </w:rPr>
        <w:t>Figure: Total Sales ($) — Trial 77 vs Control 17</w:t>
      </w:r>
    </w:p>
    <w:p>
      <w:pPr>
        <w:jc w:val="center"/>
      </w:pPr>
      <w:r>
        <w:drawing>
          <wp:inline xmlns:a="http://schemas.openxmlformats.org/drawingml/2006/main" xmlns:pic="http://schemas.openxmlformats.org/drawingml/2006/picture">
            <wp:extent cx="5029200" cy="2463386"/>
            <wp:docPr id="2" name="Picture 2"/>
            <wp:cNvGraphicFramePr>
              <a:graphicFrameLocks noChangeAspect="1"/>
            </wp:cNvGraphicFramePr>
            <a:graphic>
              <a:graphicData uri="http://schemas.openxmlformats.org/drawingml/2006/picture">
                <pic:pic>
                  <pic:nvPicPr>
                    <pic:cNvPr id="0" name="77_vs_17_nCustomers_validation.png"/>
                    <pic:cNvPicPr/>
                  </pic:nvPicPr>
                  <pic:blipFill>
                    <a:blip r:embed="rId10"/>
                    <a:stretch>
                      <a:fillRect/>
                    </a:stretch>
                  </pic:blipFill>
                  <pic:spPr>
                    <a:xfrm>
                      <a:off x="0" y="0"/>
                      <a:ext cx="5029200" cy="2463386"/>
                    </a:xfrm>
                    <a:prstGeom prst="rect"/>
                  </pic:spPr>
                </pic:pic>
              </a:graphicData>
            </a:graphic>
          </wp:inline>
        </w:drawing>
      </w:r>
    </w:p>
    <w:p>
      <w:pPr>
        <w:jc w:val="center"/>
      </w:pPr>
      <w:r>
        <w:rPr>
          <w:i/>
          <w:color w:val="666666"/>
          <w:sz w:val="18"/>
        </w:rPr>
        <w:t>Figure: Number of Customers — Trial 77 vs Control 17</w:t>
      </w:r>
    </w:p>
    <w:p>
      <w:pPr>
        <w:jc w:val="center"/>
      </w:pPr>
      <w:r>
        <w:drawing>
          <wp:inline xmlns:a="http://schemas.openxmlformats.org/drawingml/2006/main" xmlns:pic="http://schemas.openxmlformats.org/drawingml/2006/picture">
            <wp:extent cx="5029200" cy="2463386"/>
            <wp:docPr id="3" name="Picture 3"/>
            <wp:cNvGraphicFramePr>
              <a:graphicFrameLocks noChangeAspect="1"/>
            </wp:cNvGraphicFramePr>
            <a:graphic>
              <a:graphicData uri="http://schemas.openxmlformats.org/drawingml/2006/picture">
                <pic:pic>
                  <pic:nvPicPr>
                    <pic:cNvPr id="0" name="77_vs_17_nTxnPerCust_validation.png"/>
                    <pic:cNvPicPr/>
                  </pic:nvPicPr>
                  <pic:blipFill>
                    <a:blip r:embed="rId11"/>
                    <a:stretch>
                      <a:fillRect/>
                    </a:stretch>
                  </pic:blipFill>
                  <pic:spPr>
                    <a:xfrm>
                      <a:off x="0" y="0"/>
                      <a:ext cx="5029200" cy="2463386"/>
                    </a:xfrm>
                    <a:prstGeom prst="rect"/>
                  </pic:spPr>
                </pic:pic>
              </a:graphicData>
            </a:graphic>
          </wp:inline>
        </w:drawing>
      </w:r>
    </w:p>
    <w:p>
      <w:pPr>
        <w:jc w:val="center"/>
      </w:pPr>
      <w:r>
        <w:rPr>
          <w:i/>
          <w:color w:val="666666"/>
          <w:sz w:val="18"/>
        </w:rPr>
        <w:t>Figure: Transactions per Customer — Trial 77 vs Control 17</w:t>
      </w:r>
    </w:p>
    <w:p>
      <w:r>
        <w:br w:type="page"/>
      </w:r>
    </w:p>
    <w:p>
      <w:pPr>
        <w:pStyle w:val="Heading2"/>
      </w:pPr>
      <w:r>
        <w:rPr>
          <w:color w:val="1D3557"/>
        </w:rPr>
        <w:t>Store 86 vs Control 138</w:t>
      </w:r>
    </w:p>
    <w:p>
      <w:pPr>
        <w:jc w:val="center"/>
      </w:pPr>
      <w:r>
        <w:drawing>
          <wp:inline xmlns:a="http://schemas.openxmlformats.org/drawingml/2006/main" xmlns:pic="http://schemas.openxmlformats.org/drawingml/2006/picture">
            <wp:extent cx="5029200" cy="2465947"/>
            <wp:docPr id="4" name="Picture 4"/>
            <wp:cNvGraphicFramePr>
              <a:graphicFrameLocks noChangeAspect="1"/>
            </wp:cNvGraphicFramePr>
            <a:graphic>
              <a:graphicData uri="http://schemas.openxmlformats.org/drawingml/2006/picture">
                <pic:pic>
                  <pic:nvPicPr>
                    <pic:cNvPr id="0" name="86_vs_138_totSales_validation.png"/>
                    <pic:cNvPicPr/>
                  </pic:nvPicPr>
                  <pic:blipFill>
                    <a:blip r:embed="rId12"/>
                    <a:stretch>
                      <a:fillRect/>
                    </a:stretch>
                  </pic:blipFill>
                  <pic:spPr>
                    <a:xfrm>
                      <a:off x="0" y="0"/>
                      <a:ext cx="5029200" cy="2465947"/>
                    </a:xfrm>
                    <a:prstGeom prst="rect"/>
                  </pic:spPr>
                </pic:pic>
              </a:graphicData>
            </a:graphic>
          </wp:inline>
        </w:drawing>
      </w:r>
    </w:p>
    <w:p>
      <w:pPr>
        <w:jc w:val="center"/>
      </w:pPr>
      <w:r>
        <w:rPr>
          <w:i/>
          <w:color w:val="666666"/>
          <w:sz w:val="18"/>
        </w:rPr>
        <w:t>Figure: Total Sales ($) — Trial 86 vs Control 138</w:t>
      </w:r>
    </w:p>
    <w:p>
      <w:pPr>
        <w:jc w:val="center"/>
      </w:pPr>
      <w:r>
        <w:drawing>
          <wp:inline xmlns:a="http://schemas.openxmlformats.org/drawingml/2006/main" xmlns:pic="http://schemas.openxmlformats.org/drawingml/2006/picture">
            <wp:extent cx="5029200" cy="2463386"/>
            <wp:docPr id="5" name="Picture 5"/>
            <wp:cNvGraphicFramePr>
              <a:graphicFrameLocks noChangeAspect="1"/>
            </wp:cNvGraphicFramePr>
            <a:graphic>
              <a:graphicData uri="http://schemas.openxmlformats.org/drawingml/2006/picture">
                <pic:pic>
                  <pic:nvPicPr>
                    <pic:cNvPr id="0" name="86_vs_138_nCustomers_validation.png"/>
                    <pic:cNvPicPr/>
                  </pic:nvPicPr>
                  <pic:blipFill>
                    <a:blip r:embed="rId13"/>
                    <a:stretch>
                      <a:fillRect/>
                    </a:stretch>
                  </pic:blipFill>
                  <pic:spPr>
                    <a:xfrm>
                      <a:off x="0" y="0"/>
                      <a:ext cx="5029200" cy="2463386"/>
                    </a:xfrm>
                    <a:prstGeom prst="rect"/>
                  </pic:spPr>
                </pic:pic>
              </a:graphicData>
            </a:graphic>
          </wp:inline>
        </w:drawing>
      </w:r>
    </w:p>
    <w:p>
      <w:pPr>
        <w:jc w:val="center"/>
      </w:pPr>
      <w:r>
        <w:rPr>
          <w:i/>
          <w:color w:val="666666"/>
          <w:sz w:val="18"/>
        </w:rPr>
        <w:t>Figure: Number of Customers — Trial 86 vs Control 138</w:t>
      </w:r>
    </w:p>
    <w:p>
      <w:pPr>
        <w:jc w:val="center"/>
      </w:pPr>
      <w:r>
        <w:drawing>
          <wp:inline xmlns:a="http://schemas.openxmlformats.org/drawingml/2006/main" xmlns:pic="http://schemas.openxmlformats.org/drawingml/2006/picture">
            <wp:extent cx="5029200" cy="2462133"/>
            <wp:docPr id="6" name="Picture 6"/>
            <wp:cNvGraphicFramePr>
              <a:graphicFrameLocks noChangeAspect="1"/>
            </wp:cNvGraphicFramePr>
            <a:graphic>
              <a:graphicData uri="http://schemas.openxmlformats.org/drawingml/2006/picture">
                <pic:pic>
                  <pic:nvPicPr>
                    <pic:cNvPr id="0" name="86_vs_138_nTxnPerCust_validation.png"/>
                    <pic:cNvPicPr/>
                  </pic:nvPicPr>
                  <pic:blipFill>
                    <a:blip r:embed="rId14"/>
                    <a:stretch>
                      <a:fillRect/>
                    </a:stretch>
                  </pic:blipFill>
                  <pic:spPr>
                    <a:xfrm>
                      <a:off x="0" y="0"/>
                      <a:ext cx="5029200" cy="2462133"/>
                    </a:xfrm>
                    <a:prstGeom prst="rect"/>
                  </pic:spPr>
                </pic:pic>
              </a:graphicData>
            </a:graphic>
          </wp:inline>
        </w:drawing>
      </w:r>
    </w:p>
    <w:p>
      <w:pPr>
        <w:jc w:val="center"/>
      </w:pPr>
      <w:r>
        <w:rPr>
          <w:i/>
          <w:color w:val="666666"/>
          <w:sz w:val="18"/>
        </w:rPr>
        <w:t>Figure: Transactions per Customer — Trial 86 vs Control 138</w:t>
      </w:r>
    </w:p>
    <w:p>
      <w:r>
        <w:br w:type="page"/>
      </w:r>
    </w:p>
    <w:p>
      <w:pPr>
        <w:pStyle w:val="Heading2"/>
      </w:pPr>
      <w:r>
        <w:rPr>
          <w:color w:val="1D3557"/>
        </w:rPr>
        <w:t>Store 88 vs Control 201</w:t>
      </w:r>
    </w:p>
    <w:p>
      <w:pPr>
        <w:jc w:val="center"/>
      </w:pPr>
      <w:r>
        <w:drawing>
          <wp:inline xmlns:a="http://schemas.openxmlformats.org/drawingml/2006/main" xmlns:pic="http://schemas.openxmlformats.org/drawingml/2006/picture">
            <wp:extent cx="5029200" cy="2464692"/>
            <wp:docPr id="7" name="Picture 7"/>
            <wp:cNvGraphicFramePr>
              <a:graphicFrameLocks noChangeAspect="1"/>
            </wp:cNvGraphicFramePr>
            <a:graphic>
              <a:graphicData uri="http://schemas.openxmlformats.org/drawingml/2006/picture">
                <pic:pic>
                  <pic:nvPicPr>
                    <pic:cNvPr id="0" name="88_vs_201_totSales_validation.png"/>
                    <pic:cNvPicPr/>
                  </pic:nvPicPr>
                  <pic:blipFill>
                    <a:blip r:embed="rId15"/>
                    <a:stretch>
                      <a:fillRect/>
                    </a:stretch>
                  </pic:blipFill>
                  <pic:spPr>
                    <a:xfrm>
                      <a:off x="0" y="0"/>
                      <a:ext cx="5029200" cy="2464692"/>
                    </a:xfrm>
                    <a:prstGeom prst="rect"/>
                  </pic:spPr>
                </pic:pic>
              </a:graphicData>
            </a:graphic>
          </wp:inline>
        </w:drawing>
      </w:r>
    </w:p>
    <w:p>
      <w:pPr>
        <w:jc w:val="center"/>
      </w:pPr>
      <w:r>
        <w:rPr>
          <w:i/>
          <w:color w:val="666666"/>
          <w:sz w:val="18"/>
        </w:rPr>
        <w:t>Figure: Total Sales ($) — Trial 88 vs Control 201</w:t>
      </w:r>
    </w:p>
    <w:p>
      <w:pPr>
        <w:jc w:val="center"/>
      </w:pPr>
      <w:r>
        <w:drawing>
          <wp:inline xmlns:a="http://schemas.openxmlformats.org/drawingml/2006/main" xmlns:pic="http://schemas.openxmlformats.org/drawingml/2006/picture">
            <wp:extent cx="5029200" cy="2463386"/>
            <wp:docPr id="8" name="Picture 8"/>
            <wp:cNvGraphicFramePr>
              <a:graphicFrameLocks noChangeAspect="1"/>
            </wp:cNvGraphicFramePr>
            <a:graphic>
              <a:graphicData uri="http://schemas.openxmlformats.org/drawingml/2006/picture">
                <pic:pic>
                  <pic:nvPicPr>
                    <pic:cNvPr id="0" name="88_vs_201_nCustomers_validation.png"/>
                    <pic:cNvPicPr/>
                  </pic:nvPicPr>
                  <pic:blipFill>
                    <a:blip r:embed="rId16"/>
                    <a:stretch>
                      <a:fillRect/>
                    </a:stretch>
                  </pic:blipFill>
                  <pic:spPr>
                    <a:xfrm>
                      <a:off x="0" y="0"/>
                      <a:ext cx="5029200" cy="2463386"/>
                    </a:xfrm>
                    <a:prstGeom prst="rect"/>
                  </pic:spPr>
                </pic:pic>
              </a:graphicData>
            </a:graphic>
          </wp:inline>
        </w:drawing>
      </w:r>
    </w:p>
    <w:p>
      <w:pPr>
        <w:jc w:val="center"/>
      </w:pPr>
      <w:r>
        <w:rPr>
          <w:i/>
          <w:color w:val="666666"/>
          <w:sz w:val="18"/>
        </w:rPr>
        <w:t>Figure: Number of Customers — Trial 88 vs Control 201</w:t>
      </w:r>
    </w:p>
    <w:p>
      <w:pPr>
        <w:jc w:val="center"/>
      </w:pPr>
      <w:r>
        <w:drawing>
          <wp:inline xmlns:a="http://schemas.openxmlformats.org/drawingml/2006/main" xmlns:pic="http://schemas.openxmlformats.org/drawingml/2006/picture">
            <wp:extent cx="5029200" cy="2463386"/>
            <wp:docPr id="9" name="Picture 9"/>
            <wp:cNvGraphicFramePr>
              <a:graphicFrameLocks noChangeAspect="1"/>
            </wp:cNvGraphicFramePr>
            <a:graphic>
              <a:graphicData uri="http://schemas.openxmlformats.org/drawingml/2006/picture">
                <pic:pic>
                  <pic:nvPicPr>
                    <pic:cNvPr id="0" name="88_vs_201_nTxnPerCust_validation.png"/>
                    <pic:cNvPicPr/>
                  </pic:nvPicPr>
                  <pic:blipFill>
                    <a:blip r:embed="rId17"/>
                    <a:stretch>
                      <a:fillRect/>
                    </a:stretch>
                  </pic:blipFill>
                  <pic:spPr>
                    <a:xfrm>
                      <a:off x="0" y="0"/>
                      <a:ext cx="5029200" cy="2463386"/>
                    </a:xfrm>
                    <a:prstGeom prst="rect"/>
                  </pic:spPr>
                </pic:pic>
              </a:graphicData>
            </a:graphic>
          </wp:inline>
        </w:drawing>
      </w:r>
    </w:p>
    <w:p>
      <w:pPr>
        <w:jc w:val="center"/>
      </w:pPr>
      <w:r>
        <w:rPr>
          <w:i/>
          <w:color w:val="666666"/>
          <w:sz w:val="18"/>
        </w:rPr>
        <w:t>Figure: Transactions per Customer — Trial 88 vs Control 201</w:t>
      </w:r>
    </w:p>
    <w:p>
      <w:r>
        <w:br w:type="page"/>
      </w:r>
    </w:p>
    <w:p>
      <w:pPr>
        <w:pStyle w:val="Heading1"/>
      </w:pPr>
      <w:r>
        <w:rPr>
          <w:color w:val="1D3557"/>
        </w:rPr>
        <w:t>5. Trial Period Assessment</w:t>
      </w:r>
    </w:p>
    <w:p>
      <w:r>
        <w:t>For each trial store, we scale the control store to the trial store's pre-trial level, then compute the percentage difference. The 95% confidence interval bands (dashed lines) are derived from the pre-trial standard deviation. When the trial store's line lies outside these bands, the effect is statistically significant.</w:t>
      </w:r>
    </w:p>
    <w:p>
      <w:pPr>
        <w:pStyle w:val="Heading2"/>
      </w:pPr>
      <w:r>
        <w:rPr>
          <w:color w:val="1D3557"/>
        </w:rPr>
        <w:t>5.1 Trial Store 77 vs Control Store 17</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D3557"/>
          </w:tcPr>
          <w:p>
            <w:pPr>
              <w:jc w:val="center"/>
            </w:pPr>
            <w:r>
              <w:rPr>
                <w:rFonts w:ascii="Calibri" w:hAnsi="Calibri"/>
                <w:b/>
                <w:color w:val="FFFFFF"/>
                <w:sz w:val="19"/>
              </w:rPr>
              <w:t>Metric</w:t>
            </w:r>
          </w:p>
        </w:tc>
        <w:tc>
          <w:tcPr>
            <w:tcW w:type="dxa" w:w="1296"/>
            <w:shd w:fill="1D3557"/>
          </w:tcPr>
          <w:p>
            <w:pPr>
              <w:jc w:val="center"/>
            </w:pPr>
            <w:r>
              <w:rPr>
                <w:rFonts w:ascii="Calibri" w:hAnsi="Calibri"/>
                <w:b/>
                <w:color w:val="FFFFFF"/>
                <w:sz w:val="19"/>
              </w:rPr>
              <w:t>Trial Pre</w:t>
            </w:r>
          </w:p>
        </w:tc>
        <w:tc>
          <w:tcPr>
            <w:tcW w:type="dxa" w:w="1296"/>
            <w:shd w:fill="1D3557"/>
          </w:tcPr>
          <w:p>
            <w:pPr>
              <w:jc w:val="center"/>
            </w:pPr>
            <w:r>
              <w:rPr>
                <w:rFonts w:ascii="Calibri" w:hAnsi="Calibri"/>
                <w:b/>
                <w:color w:val="FFFFFF"/>
                <w:sz w:val="19"/>
              </w:rPr>
              <w:t>Trial During</w:t>
            </w:r>
          </w:p>
        </w:tc>
        <w:tc>
          <w:tcPr>
            <w:tcW w:type="dxa" w:w="1296"/>
            <w:shd w:fill="1D3557"/>
          </w:tcPr>
          <w:p>
            <w:pPr>
              <w:jc w:val="center"/>
            </w:pPr>
            <w:r>
              <w:rPr>
                <w:rFonts w:ascii="Calibri" w:hAnsi="Calibri"/>
                <w:b/>
                <w:color w:val="FFFFFF"/>
                <w:sz w:val="19"/>
              </w:rPr>
              <w:t>Trial Post</w:t>
            </w:r>
          </w:p>
        </w:tc>
        <w:tc>
          <w:tcPr>
            <w:tcW w:type="dxa" w:w="1296"/>
            <w:shd w:fill="1D3557"/>
          </w:tcPr>
          <w:p>
            <w:pPr>
              <w:jc w:val="center"/>
            </w:pPr>
            <w:r>
              <w:rPr>
                <w:rFonts w:ascii="Calibri" w:hAnsi="Calibri"/>
                <w:b/>
                <w:color w:val="FFFFFF"/>
                <w:sz w:val="19"/>
              </w:rPr>
              <w:t>Ctrl Pre</w:t>
            </w:r>
          </w:p>
        </w:tc>
        <w:tc>
          <w:tcPr>
            <w:tcW w:type="dxa" w:w="1296"/>
            <w:shd w:fill="1D3557"/>
          </w:tcPr>
          <w:p>
            <w:pPr>
              <w:jc w:val="center"/>
            </w:pPr>
            <w:r>
              <w:rPr>
                <w:rFonts w:ascii="Calibri" w:hAnsi="Calibri"/>
                <w:b/>
                <w:color w:val="FFFFFF"/>
                <w:sz w:val="19"/>
              </w:rPr>
              <w:t>Ctrl During</w:t>
            </w:r>
          </w:p>
        </w:tc>
        <w:tc>
          <w:tcPr>
            <w:tcW w:type="dxa" w:w="1296"/>
            <w:shd w:fill="1D3557"/>
          </w:tcPr>
          <w:p>
            <w:pPr>
              <w:jc w:val="center"/>
            </w:pPr>
            <w:r>
              <w:rPr>
                <w:rFonts w:ascii="Calibri" w:hAnsi="Calibri"/>
                <w:b/>
                <w:color w:val="FFFFFF"/>
                <w:sz w:val="19"/>
              </w:rPr>
              <w:t>Ctrl Post</w:t>
            </w:r>
          </w:p>
        </w:tc>
      </w:tr>
      <w:tr>
        <w:tc>
          <w:tcPr>
            <w:tcW w:type="dxa" w:w="1296"/>
          </w:tcPr>
          <w:p>
            <w:pPr>
              <w:jc w:val="center"/>
            </w:pPr>
            <w:r>
              <w:rPr>
                <w:rFonts w:ascii="Calibri" w:hAnsi="Calibri"/>
                <w:sz w:val="19"/>
              </w:rPr>
              <w:t>Total Sales ($)</w:t>
            </w:r>
          </w:p>
        </w:tc>
        <w:tc>
          <w:tcPr>
            <w:tcW w:type="dxa" w:w="1296"/>
          </w:tcPr>
          <w:p>
            <w:pPr>
              <w:jc w:val="center"/>
            </w:pPr>
            <w:r>
              <w:rPr>
                <w:rFonts w:ascii="Calibri" w:hAnsi="Calibri"/>
                <w:sz w:val="19"/>
              </w:rPr>
              <w:t>242.7</w:t>
            </w:r>
          </w:p>
        </w:tc>
        <w:tc>
          <w:tcPr>
            <w:tcW w:type="dxa" w:w="1296"/>
          </w:tcPr>
          <w:p>
            <w:pPr>
              <w:jc w:val="center"/>
            </w:pPr>
            <w:r>
              <w:rPr>
                <w:rFonts w:ascii="Calibri" w:hAnsi="Calibri"/>
                <w:sz w:val="19"/>
              </w:rPr>
              <w:t>259.0</w:t>
            </w:r>
          </w:p>
        </w:tc>
        <w:tc>
          <w:tcPr>
            <w:tcW w:type="dxa" w:w="1296"/>
          </w:tcPr>
          <w:p>
            <w:pPr>
              <w:jc w:val="center"/>
            </w:pPr>
            <w:r>
              <w:rPr>
                <w:rFonts w:ascii="Calibri" w:hAnsi="Calibri"/>
                <w:sz w:val="19"/>
              </w:rPr>
              <w:t>282.0</w:t>
            </w:r>
          </w:p>
        </w:tc>
        <w:tc>
          <w:tcPr>
            <w:tcW w:type="dxa" w:w="1296"/>
          </w:tcPr>
          <w:p>
            <w:pPr>
              <w:jc w:val="center"/>
            </w:pPr>
            <w:r>
              <w:rPr>
                <w:rFonts w:ascii="Calibri" w:hAnsi="Calibri"/>
                <w:sz w:val="19"/>
              </w:rPr>
              <w:t>398.3</w:t>
            </w:r>
          </w:p>
        </w:tc>
        <w:tc>
          <w:tcPr>
            <w:tcW w:type="dxa" w:w="1296"/>
          </w:tcPr>
          <w:p>
            <w:pPr>
              <w:jc w:val="center"/>
            </w:pPr>
            <w:r>
              <w:rPr>
                <w:rFonts w:ascii="Calibri" w:hAnsi="Calibri"/>
                <w:sz w:val="19"/>
              </w:rPr>
              <w:t>408.9</w:t>
            </w:r>
          </w:p>
        </w:tc>
        <w:tc>
          <w:tcPr>
            <w:tcW w:type="dxa" w:w="1296"/>
          </w:tcPr>
          <w:p>
            <w:pPr>
              <w:jc w:val="center"/>
            </w:pPr>
            <w:r>
              <w:rPr>
                <w:rFonts w:ascii="Calibri" w:hAnsi="Calibri"/>
                <w:sz w:val="19"/>
              </w:rPr>
              <w:t>310.8</w:t>
            </w:r>
          </w:p>
        </w:tc>
      </w:tr>
      <w:tr>
        <w:tc>
          <w:tcPr>
            <w:tcW w:type="dxa" w:w="1296"/>
          </w:tcPr>
          <w:p>
            <w:pPr>
              <w:jc w:val="center"/>
            </w:pPr>
            <w:r>
              <w:rPr>
                <w:rFonts w:ascii="Calibri" w:hAnsi="Calibri"/>
                <w:sz w:val="19"/>
              </w:rPr>
              <w:t>Number of Customers</w:t>
            </w:r>
          </w:p>
        </w:tc>
        <w:tc>
          <w:tcPr>
            <w:tcW w:type="dxa" w:w="1296"/>
          </w:tcPr>
          <w:p>
            <w:pPr>
              <w:jc w:val="center"/>
            </w:pPr>
            <w:r>
              <w:rPr>
                <w:rFonts w:ascii="Calibri" w:hAnsi="Calibri"/>
                <w:sz w:val="19"/>
              </w:rPr>
              <w:t>42.7</w:t>
            </w:r>
          </w:p>
        </w:tc>
        <w:tc>
          <w:tcPr>
            <w:tcW w:type="dxa" w:w="1296"/>
          </w:tcPr>
          <w:p>
            <w:pPr>
              <w:jc w:val="center"/>
            </w:pPr>
            <w:r>
              <w:rPr>
                <w:rFonts w:ascii="Calibri" w:hAnsi="Calibri"/>
                <w:sz w:val="19"/>
              </w:rPr>
              <w:t>47.3</w:t>
            </w:r>
          </w:p>
        </w:tc>
        <w:tc>
          <w:tcPr>
            <w:tcW w:type="dxa" w:w="1296"/>
          </w:tcPr>
          <w:p>
            <w:pPr>
              <w:jc w:val="center"/>
            </w:pPr>
            <w:r>
              <w:rPr>
                <w:rFonts w:ascii="Calibri" w:hAnsi="Calibri"/>
                <w:sz w:val="19"/>
              </w:rPr>
              <w:t>48.0</w:t>
            </w:r>
          </w:p>
        </w:tc>
        <w:tc>
          <w:tcPr>
            <w:tcW w:type="dxa" w:w="1296"/>
          </w:tcPr>
          <w:p>
            <w:pPr>
              <w:jc w:val="center"/>
            </w:pPr>
            <w:r>
              <w:rPr>
                <w:rFonts w:ascii="Calibri" w:hAnsi="Calibri"/>
                <w:sz w:val="19"/>
              </w:rPr>
              <w:t>43.7</w:t>
            </w:r>
          </w:p>
        </w:tc>
        <w:tc>
          <w:tcPr>
            <w:tcW w:type="dxa" w:w="1296"/>
          </w:tcPr>
          <w:p>
            <w:pPr>
              <w:jc w:val="center"/>
            </w:pPr>
            <w:r>
              <w:rPr>
                <w:rFonts w:ascii="Calibri" w:hAnsi="Calibri"/>
                <w:sz w:val="19"/>
              </w:rPr>
              <w:t>46.3</w:t>
            </w:r>
          </w:p>
        </w:tc>
        <w:tc>
          <w:tcPr>
            <w:tcW w:type="dxa" w:w="1296"/>
          </w:tcPr>
          <w:p>
            <w:pPr>
              <w:jc w:val="center"/>
            </w:pPr>
            <w:r>
              <w:rPr>
                <w:rFonts w:ascii="Calibri" w:hAnsi="Calibri"/>
                <w:sz w:val="19"/>
              </w:rPr>
              <w:t>39.0</w:t>
            </w:r>
          </w:p>
        </w:tc>
      </w:tr>
      <w:tr>
        <w:tc>
          <w:tcPr>
            <w:tcW w:type="dxa" w:w="1296"/>
          </w:tcPr>
          <w:p>
            <w:pPr>
              <w:jc w:val="center"/>
            </w:pPr>
            <w:r>
              <w:rPr>
                <w:rFonts w:ascii="Calibri" w:hAnsi="Calibri"/>
                <w:sz w:val="19"/>
              </w:rPr>
              <w:t>Transactions per Customer</w:t>
            </w:r>
          </w:p>
        </w:tc>
        <w:tc>
          <w:tcPr>
            <w:tcW w:type="dxa" w:w="1296"/>
          </w:tcPr>
          <w:p>
            <w:pPr>
              <w:jc w:val="center"/>
            </w:pPr>
            <w:r>
              <w:rPr>
                <w:rFonts w:ascii="Calibri" w:hAnsi="Calibri"/>
                <w:sz w:val="19"/>
              </w:rPr>
              <w:t>1.1</w:t>
            </w:r>
          </w:p>
        </w:tc>
        <w:tc>
          <w:tcPr>
            <w:tcW w:type="dxa" w:w="1296"/>
          </w:tcPr>
          <w:p>
            <w:pPr>
              <w:jc w:val="center"/>
            </w:pPr>
            <w:r>
              <w:rPr>
                <w:rFonts w:ascii="Calibri" w:hAnsi="Calibri"/>
                <w:sz w:val="19"/>
              </w:rPr>
              <w:t>1.0</w:t>
            </w:r>
          </w:p>
        </w:tc>
        <w:tc>
          <w:tcPr>
            <w:tcW w:type="dxa" w:w="1296"/>
          </w:tcPr>
          <w:p>
            <w:pPr>
              <w:jc w:val="center"/>
            </w:pPr>
            <w:r>
              <w:rPr>
                <w:rFonts w:ascii="Calibri" w:hAnsi="Calibri"/>
                <w:sz w:val="19"/>
              </w:rPr>
              <w:t>1.0</w:t>
            </w:r>
          </w:p>
        </w:tc>
        <w:tc>
          <w:tcPr>
            <w:tcW w:type="dxa" w:w="1296"/>
          </w:tcPr>
          <w:p>
            <w:pPr>
              <w:jc w:val="center"/>
            </w:pPr>
            <w:r>
              <w:rPr>
                <w:rFonts w:ascii="Calibri" w:hAnsi="Calibri"/>
                <w:sz w:val="19"/>
              </w:rPr>
              <w:t>1.1</w:t>
            </w:r>
          </w:p>
        </w:tc>
        <w:tc>
          <w:tcPr>
            <w:tcW w:type="dxa" w:w="1296"/>
          </w:tcPr>
          <w:p>
            <w:pPr>
              <w:jc w:val="center"/>
            </w:pPr>
            <w:r>
              <w:rPr>
                <w:rFonts w:ascii="Calibri" w:hAnsi="Calibri"/>
                <w:sz w:val="19"/>
              </w:rPr>
              <w:t>1.1</w:t>
            </w:r>
          </w:p>
        </w:tc>
        <w:tc>
          <w:tcPr>
            <w:tcW w:type="dxa" w:w="1296"/>
          </w:tcPr>
          <w:p>
            <w:pPr>
              <w:jc w:val="center"/>
            </w:pPr>
            <w:r>
              <w:rPr>
                <w:rFonts w:ascii="Calibri" w:hAnsi="Calibri"/>
                <w:sz w:val="19"/>
              </w:rPr>
              <w:t>1.0</w:t>
            </w:r>
          </w:p>
        </w:tc>
      </w:tr>
    </w:tbl>
    <w:p/>
    <w:p>
      <w:pPr>
        <w:pStyle w:val="Heading3"/>
      </w:pPr>
      <w:r>
        <w:rPr>
          <w:color w:val="1D3557"/>
        </w:rPr>
        <w:t>t-Values — Store 77</w:t>
      </w:r>
    </w:p>
    <w:p>
      <w:r>
        <w:t>The t-value for each trial month measures how many standard deviations the percentage difference deviates from zero. A t-value exceeding ±2.0 (approximate 95th percentile) indicates statistical significance.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D3557"/>
          </w:tcPr>
          <w:p>
            <w:pPr>
              <w:jc w:val="center"/>
            </w:pPr>
            <w:r>
              <w:rPr>
                <w:rFonts w:ascii="Calibri" w:hAnsi="Calibri"/>
                <w:b/>
                <w:color w:val="FFFFFF"/>
                <w:sz w:val="19"/>
              </w:rPr>
              <w:t>Month</w:t>
            </w:r>
          </w:p>
        </w:tc>
        <w:tc>
          <w:tcPr>
            <w:tcW w:type="dxa" w:w="3024"/>
            <w:shd w:fill="1D3557"/>
          </w:tcPr>
          <w:p>
            <w:pPr>
              <w:jc w:val="center"/>
            </w:pPr>
            <w:r>
              <w:rPr>
                <w:rFonts w:ascii="Calibri" w:hAnsi="Calibri"/>
                <w:b/>
                <w:color w:val="FFFFFF"/>
                <w:sz w:val="19"/>
              </w:rPr>
              <w:t>% Difference</w:t>
            </w:r>
          </w:p>
        </w:tc>
        <w:tc>
          <w:tcPr>
            <w:tcW w:type="dxa" w:w="3024"/>
            <w:shd w:fill="1D3557"/>
          </w:tcPr>
          <w:p>
            <w:pPr>
              <w:jc w:val="center"/>
            </w:pPr>
            <w:r>
              <w:rPr>
                <w:rFonts w:ascii="Calibri" w:hAnsi="Calibri"/>
                <w:b/>
                <w:color w:val="FFFFFF"/>
                <w:sz w:val="19"/>
              </w:rPr>
              <w:t>t-Value</w:t>
            </w:r>
          </w:p>
        </w:tc>
      </w:tr>
      <w:tr>
        <w:tc>
          <w:tcPr>
            <w:tcW w:type="dxa" w:w="3024"/>
          </w:tcPr>
          <w:p>
            <w:pPr>
              <w:jc w:val="center"/>
            </w:pPr>
            <w:r>
              <w:rPr>
                <w:rFonts w:ascii="Calibri" w:hAnsi="Calibri"/>
                <w:sz w:val="19"/>
              </w:rPr>
              <w:t>Feb 2019</w:t>
            </w:r>
          </w:p>
        </w:tc>
        <w:tc>
          <w:tcPr>
            <w:tcW w:type="dxa" w:w="3024"/>
          </w:tcPr>
          <w:p>
            <w:pPr>
              <w:jc w:val="center"/>
            </w:pPr>
            <w:r>
              <w:rPr>
                <w:rFonts w:ascii="Calibri" w:hAnsi="Calibri"/>
                <w:sz w:val="19"/>
              </w:rPr>
              <w:t>0.09%</w:t>
            </w:r>
          </w:p>
        </w:tc>
        <w:tc>
          <w:tcPr>
            <w:tcW w:type="dxa" w:w="3024"/>
          </w:tcPr>
          <w:p>
            <w:pPr>
              <w:jc w:val="center"/>
            </w:pPr>
            <w:r>
              <w:rPr>
                <w:rFonts w:ascii="Calibri" w:hAnsi="Calibri"/>
                <w:sz w:val="19"/>
              </w:rPr>
              <w:t>0.01</w:t>
            </w:r>
          </w:p>
        </w:tc>
      </w:tr>
      <w:tr>
        <w:tc>
          <w:tcPr>
            <w:tcW w:type="dxa" w:w="3024"/>
          </w:tcPr>
          <w:p>
            <w:pPr>
              <w:jc w:val="center"/>
            </w:pPr>
            <w:r>
              <w:rPr>
                <w:rFonts w:ascii="Calibri" w:hAnsi="Calibri"/>
                <w:sz w:val="19"/>
              </w:rPr>
              <w:t>Mar 2019</w:t>
            </w:r>
          </w:p>
        </w:tc>
        <w:tc>
          <w:tcPr>
            <w:tcW w:type="dxa" w:w="3024"/>
          </w:tcPr>
          <w:p>
            <w:pPr>
              <w:jc w:val="center"/>
            </w:pPr>
            <w:r>
              <w:rPr>
                <w:rFonts w:ascii="Calibri" w:hAnsi="Calibri"/>
                <w:sz w:val="19"/>
              </w:rPr>
              <w:t>-3.81%</w:t>
            </w:r>
          </w:p>
        </w:tc>
        <w:tc>
          <w:tcPr>
            <w:tcW w:type="dxa" w:w="3024"/>
          </w:tcPr>
          <w:p>
            <w:pPr>
              <w:jc w:val="center"/>
            </w:pPr>
            <w:r>
              <w:rPr>
                <w:rFonts w:ascii="Calibri" w:hAnsi="Calibri"/>
                <w:sz w:val="19"/>
              </w:rPr>
              <w:t>-0.44</w:t>
            </w:r>
          </w:p>
        </w:tc>
      </w:tr>
      <w:tr>
        <w:tc>
          <w:tcPr>
            <w:tcW w:type="dxa" w:w="3024"/>
          </w:tcPr>
          <w:p>
            <w:pPr>
              <w:jc w:val="center"/>
            </w:pPr>
            <w:r>
              <w:rPr>
                <w:rFonts w:ascii="Calibri" w:hAnsi="Calibri"/>
                <w:sz w:val="19"/>
              </w:rPr>
              <w:t>Apr 2019</w:t>
            </w:r>
          </w:p>
        </w:tc>
        <w:tc>
          <w:tcPr>
            <w:tcW w:type="dxa" w:w="3024"/>
          </w:tcPr>
          <w:p>
            <w:pPr>
              <w:jc w:val="center"/>
            </w:pPr>
            <w:r>
              <w:rPr>
                <w:rFonts w:ascii="Calibri" w:hAnsi="Calibri"/>
                <w:sz w:val="19"/>
              </w:rPr>
              <w:t>-8.00%</w:t>
            </w:r>
          </w:p>
        </w:tc>
        <w:tc>
          <w:tcPr>
            <w:tcW w:type="dxa" w:w="3024"/>
          </w:tcPr>
          <w:p>
            <w:pPr>
              <w:jc w:val="center"/>
            </w:pPr>
            <w:r>
              <w:rPr>
                <w:rFonts w:ascii="Calibri" w:hAnsi="Calibri"/>
                <w:sz w:val="19"/>
              </w:rPr>
              <w:t>-0.93</w:t>
            </w:r>
          </w:p>
        </w:tc>
      </w:tr>
    </w:tbl>
    <w:p/>
    <w:p>
      <w:pPr>
        <w:jc w:val="center"/>
      </w:pPr>
      <w:r>
        <w:drawing>
          <wp:inline xmlns:a="http://schemas.openxmlformats.org/drawingml/2006/main" xmlns:pic="http://schemas.openxmlformats.org/drawingml/2006/picture">
            <wp:extent cx="5120640" cy="2515361"/>
            <wp:docPr id="10" name="Picture 10"/>
            <wp:cNvGraphicFramePr>
              <a:graphicFrameLocks noChangeAspect="1"/>
            </wp:cNvGraphicFramePr>
            <a:graphic>
              <a:graphicData uri="http://schemas.openxmlformats.org/drawingml/2006/picture">
                <pic:pic>
                  <pic:nvPicPr>
                    <pic:cNvPr id="0" name="77_vs_17_totSales_assessment.png"/>
                    <pic:cNvPicPr/>
                  </pic:nvPicPr>
                  <pic:blipFill>
                    <a:blip r:embed="rId18"/>
                    <a:stretch>
                      <a:fillRect/>
                    </a:stretch>
                  </pic:blipFill>
                  <pic:spPr>
                    <a:xfrm>
                      <a:off x="0" y="0"/>
                      <a:ext cx="5120640" cy="2515361"/>
                    </a:xfrm>
                    <a:prstGeom prst="rect"/>
                  </pic:spPr>
                </pic:pic>
              </a:graphicData>
            </a:graphic>
          </wp:inline>
        </w:drawing>
      </w:r>
    </w:p>
    <w:p>
      <w:pPr>
        <w:jc w:val="center"/>
      </w:pPr>
      <w:r>
        <w:rPr>
          <w:i/>
          <w:color w:val="666666"/>
          <w:sz w:val="18"/>
        </w:rPr>
        <w:t>Figure: Total Sales ($) — Trial Assessment (Trial 77 vs Control 17)</w:t>
      </w:r>
    </w:p>
    <w:p>
      <w:pPr>
        <w:jc w:val="center"/>
      </w:pPr>
      <w:r>
        <w:drawing>
          <wp:inline xmlns:a="http://schemas.openxmlformats.org/drawingml/2006/main" xmlns:pic="http://schemas.openxmlformats.org/drawingml/2006/picture">
            <wp:extent cx="5120640" cy="2515361"/>
            <wp:docPr id="11" name="Picture 11"/>
            <wp:cNvGraphicFramePr>
              <a:graphicFrameLocks noChangeAspect="1"/>
            </wp:cNvGraphicFramePr>
            <a:graphic>
              <a:graphicData uri="http://schemas.openxmlformats.org/drawingml/2006/picture">
                <pic:pic>
                  <pic:nvPicPr>
                    <pic:cNvPr id="0" name="77_vs_17_nCustomers_assessment.png"/>
                    <pic:cNvPicPr/>
                  </pic:nvPicPr>
                  <pic:blipFill>
                    <a:blip r:embed="rId19"/>
                    <a:stretch>
                      <a:fillRect/>
                    </a:stretch>
                  </pic:blipFill>
                  <pic:spPr>
                    <a:xfrm>
                      <a:off x="0" y="0"/>
                      <a:ext cx="5120640" cy="2515361"/>
                    </a:xfrm>
                    <a:prstGeom prst="rect"/>
                  </pic:spPr>
                </pic:pic>
              </a:graphicData>
            </a:graphic>
          </wp:inline>
        </w:drawing>
      </w:r>
    </w:p>
    <w:p>
      <w:pPr>
        <w:jc w:val="center"/>
      </w:pPr>
      <w:r>
        <w:rPr>
          <w:i/>
          <w:color w:val="666666"/>
          <w:sz w:val="18"/>
        </w:rPr>
        <w:t>Figure: Number of Customers — Trial Assessment (Trial 77 vs Control 17)</w:t>
      </w:r>
    </w:p>
    <w:p>
      <w:pPr>
        <w:jc w:val="center"/>
      </w:pPr>
      <w:r>
        <w:drawing>
          <wp:inline xmlns:a="http://schemas.openxmlformats.org/drawingml/2006/main" xmlns:pic="http://schemas.openxmlformats.org/drawingml/2006/picture">
            <wp:extent cx="5120640" cy="2515361"/>
            <wp:docPr id="12" name="Picture 12"/>
            <wp:cNvGraphicFramePr>
              <a:graphicFrameLocks noChangeAspect="1"/>
            </wp:cNvGraphicFramePr>
            <a:graphic>
              <a:graphicData uri="http://schemas.openxmlformats.org/drawingml/2006/picture">
                <pic:pic>
                  <pic:nvPicPr>
                    <pic:cNvPr id="0" name="77_vs_17_nTxnPerCust_assessment.png"/>
                    <pic:cNvPicPr/>
                  </pic:nvPicPr>
                  <pic:blipFill>
                    <a:blip r:embed="rId20"/>
                    <a:stretch>
                      <a:fillRect/>
                    </a:stretch>
                  </pic:blipFill>
                  <pic:spPr>
                    <a:xfrm>
                      <a:off x="0" y="0"/>
                      <a:ext cx="5120640" cy="2515361"/>
                    </a:xfrm>
                    <a:prstGeom prst="rect"/>
                  </pic:spPr>
                </pic:pic>
              </a:graphicData>
            </a:graphic>
          </wp:inline>
        </w:drawing>
      </w:r>
    </w:p>
    <w:p>
      <w:pPr>
        <w:jc w:val="center"/>
      </w:pPr>
      <w:r>
        <w:rPr>
          <w:i/>
          <w:color w:val="666666"/>
          <w:sz w:val="18"/>
        </w:rPr>
        <w:t>Figure: Transactions per Customer — Trial Assessment (Trial 77 vs Control 17)</w:t>
      </w:r>
    </w:p>
    <w:p>
      <w:r>
        <w:br w:type="page"/>
      </w:r>
    </w:p>
    <w:p>
      <w:pPr>
        <w:pStyle w:val="Heading2"/>
      </w:pPr>
      <w:r>
        <w:rPr>
          <w:color w:val="1D3557"/>
        </w:rPr>
        <w:t>5.2 Trial Store 86 vs Control Store 138</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D3557"/>
          </w:tcPr>
          <w:p>
            <w:pPr>
              <w:jc w:val="center"/>
            </w:pPr>
            <w:r>
              <w:rPr>
                <w:rFonts w:ascii="Calibri" w:hAnsi="Calibri"/>
                <w:b/>
                <w:color w:val="FFFFFF"/>
                <w:sz w:val="19"/>
              </w:rPr>
              <w:t>Metric</w:t>
            </w:r>
          </w:p>
        </w:tc>
        <w:tc>
          <w:tcPr>
            <w:tcW w:type="dxa" w:w="1296"/>
            <w:shd w:fill="1D3557"/>
          </w:tcPr>
          <w:p>
            <w:pPr>
              <w:jc w:val="center"/>
            </w:pPr>
            <w:r>
              <w:rPr>
                <w:rFonts w:ascii="Calibri" w:hAnsi="Calibri"/>
                <w:b/>
                <w:color w:val="FFFFFF"/>
                <w:sz w:val="19"/>
              </w:rPr>
              <w:t>Trial Pre</w:t>
            </w:r>
          </w:p>
        </w:tc>
        <w:tc>
          <w:tcPr>
            <w:tcW w:type="dxa" w:w="1296"/>
            <w:shd w:fill="1D3557"/>
          </w:tcPr>
          <w:p>
            <w:pPr>
              <w:jc w:val="center"/>
            </w:pPr>
            <w:r>
              <w:rPr>
                <w:rFonts w:ascii="Calibri" w:hAnsi="Calibri"/>
                <w:b/>
                <w:color w:val="FFFFFF"/>
                <w:sz w:val="19"/>
              </w:rPr>
              <w:t>Trial During</w:t>
            </w:r>
          </w:p>
        </w:tc>
        <w:tc>
          <w:tcPr>
            <w:tcW w:type="dxa" w:w="1296"/>
            <w:shd w:fill="1D3557"/>
          </w:tcPr>
          <w:p>
            <w:pPr>
              <w:jc w:val="center"/>
            </w:pPr>
            <w:r>
              <w:rPr>
                <w:rFonts w:ascii="Calibri" w:hAnsi="Calibri"/>
                <w:b/>
                <w:color w:val="FFFFFF"/>
                <w:sz w:val="19"/>
              </w:rPr>
              <w:t>Trial Post</w:t>
            </w:r>
          </w:p>
        </w:tc>
        <w:tc>
          <w:tcPr>
            <w:tcW w:type="dxa" w:w="1296"/>
            <w:shd w:fill="1D3557"/>
          </w:tcPr>
          <w:p>
            <w:pPr>
              <w:jc w:val="center"/>
            </w:pPr>
            <w:r>
              <w:rPr>
                <w:rFonts w:ascii="Calibri" w:hAnsi="Calibri"/>
                <w:b/>
                <w:color w:val="FFFFFF"/>
                <w:sz w:val="19"/>
              </w:rPr>
              <w:t>Ctrl Pre</w:t>
            </w:r>
          </w:p>
        </w:tc>
        <w:tc>
          <w:tcPr>
            <w:tcW w:type="dxa" w:w="1296"/>
            <w:shd w:fill="1D3557"/>
          </w:tcPr>
          <w:p>
            <w:pPr>
              <w:jc w:val="center"/>
            </w:pPr>
            <w:r>
              <w:rPr>
                <w:rFonts w:ascii="Calibri" w:hAnsi="Calibri"/>
                <w:b/>
                <w:color w:val="FFFFFF"/>
                <w:sz w:val="19"/>
              </w:rPr>
              <w:t>Ctrl During</w:t>
            </w:r>
          </w:p>
        </w:tc>
        <w:tc>
          <w:tcPr>
            <w:tcW w:type="dxa" w:w="1296"/>
            <w:shd w:fill="1D3557"/>
          </w:tcPr>
          <w:p>
            <w:pPr>
              <w:jc w:val="center"/>
            </w:pPr>
            <w:r>
              <w:rPr>
                <w:rFonts w:ascii="Calibri" w:hAnsi="Calibri"/>
                <w:b/>
                <w:color w:val="FFFFFF"/>
                <w:sz w:val="19"/>
              </w:rPr>
              <w:t>Ctrl Post</w:t>
            </w:r>
          </w:p>
        </w:tc>
      </w:tr>
      <w:tr>
        <w:tc>
          <w:tcPr>
            <w:tcW w:type="dxa" w:w="1296"/>
          </w:tcPr>
          <w:p>
            <w:pPr>
              <w:jc w:val="center"/>
            </w:pPr>
            <w:r>
              <w:rPr>
                <w:rFonts w:ascii="Calibri" w:hAnsi="Calibri"/>
                <w:sz w:val="19"/>
              </w:rPr>
              <w:t>Total Sales ($)</w:t>
            </w:r>
          </w:p>
        </w:tc>
        <w:tc>
          <w:tcPr>
            <w:tcW w:type="dxa" w:w="1296"/>
          </w:tcPr>
          <w:p>
            <w:pPr>
              <w:jc w:val="center"/>
            </w:pPr>
            <w:r>
              <w:rPr>
                <w:rFonts w:ascii="Calibri" w:hAnsi="Calibri"/>
                <w:sz w:val="19"/>
              </w:rPr>
              <w:t>874.3</w:t>
            </w:r>
          </w:p>
        </w:tc>
        <w:tc>
          <w:tcPr>
            <w:tcW w:type="dxa" w:w="1296"/>
          </w:tcPr>
          <w:p>
            <w:pPr>
              <w:jc w:val="center"/>
            </w:pPr>
            <w:r>
              <w:rPr>
                <w:rFonts w:ascii="Calibri" w:hAnsi="Calibri"/>
                <w:sz w:val="19"/>
              </w:rPr>
              <w:t>929.4</w:t>
            </w:r>
          </w:p>
        </w:tc>
        <w:tc>
          <w:tcPr>
            <w:tcW w:type="dxa" w:w="1296"/>
          </w:tcPr>
          <w:p>
            <w:pPr>
              <w:jc w:val="center"/>
            </w:pPr>
            <w:r>
              <w:rPr>
                <w:rFonts w:ascii="Calibri" w:hAnsi="Calibri"/>
                <w:sz w:val="19"/>
              </w:rPr>
              <w:t>863.6</w:t>
            </w:r>
          </w:p>
        </w:tc>
        <w:tc>
          <w:tcPr>
            <w:tcW w:type="dxa" w:w="1296"/>
          </w:tcPr>
          <w:p>
            <w:pPr>
              <w:jc w:val="center"/>
            </w:pPr>
            <w:r>
              <w:rPr>
                <w:rFonts w:ascii="Calibri" w:hAnsi="Calibri"/>
                <w:sz w:val="19"/>
              </w:rPr>
              <w:t>903.3</w:t>
            </w:r>
          </w:p>
        </w:tc>
        <w:tc>
          <w:tcPr>
            <w:tcW w:type="dxa" w:w="1296"/>
          </w:tcPr>
          <w:p>
            <w:pPr>
              <w:jc w:val="center"/>
            </w:pPr>
            <w:r>
              <w:rPr>
                <w:rFonts w:ascii="Calibri" w:hAnsi="Calibri"/>
                <w:sz w:val="19"/>
              </w:rPr>
              <w:t>841.1</w:t>
            </w:r>
          </w:p>
        </w:tc>
        <w:tc>
          <w:tcPr>
            <w:tcW w:type="dxa" w:w="1296"/>
          </w:tcPr>
          <w:p>
            <w:pPr>
              <w:jc w:val="center"/>
            </w:pPr>
            <w:r>
              <w:rPr>
                <w:rFonts w:ascii="Calibri" w:hAnsi="Calibri"/>
                <w:sz w:val="19"/>
              </w:rPr>
              <w:t>989.2</w:t>
            </w:r>
          </w:p>
        </w:tc>
      </w:tr>
      <w:tr>
        <w:tc>
          <w:tcPr>
            <w:tcW w:type="dxa" w:w="1296"/>
          </w:tcPr>
          <w:p>
            <w:pPr>
              <w:jc w:val="center"/>
            </w:pPr>
            <w:r>
              <w:rPr>
                <w:rFonts w:ascii="Calibri" w:hAnsi="Calibri"/>
                <w:sz w:val="19"/>
              </w:rPr>
              <w:t>Number of Customers</w:t>
            </w:r>
          </w:p>
        </w:tc>
        <w:tc>
          <w:tcPr>
            <w:tcW w:type="dxa" w:w="1296"/>
          </w:tcPr>
          <w:p>
            <w:pPr>
              <w:jc w:val="center"/>
            </w:pPr>
            <w:r>
              <w:rPr>
                <w:rFonts w:ascii="Calibri" w:hAnsi="Calibri"/>
                <w:sz w:val="19"/>
              </w:rPr>
              <w:t>99.6</w:t>
            </w:r>
          </w:p>
        </w:tc>
        <w:tc>
          <w:tcPr>
            <w:tcW w:type="dxa" w:w="1296"/>
          </w:tcPr>
          <w:p>
            <w:pPr>
              <w:jc w:val="center"/>
            </w:pPr>
            <w:r>
              <w:rPr>
                <w:rFonts w:ascii="Calibri" w:hAnsi="Calibri"/>
                <w:sz w:val="19"/>
              </w:rPr>
              <w:t>109.0</w:t>
            </w:r>
          </w:p>
        </w:tc>
        <w:tc>
          <w:tcPr>
            <w:tcW w:type="dxa" w:w="1296"/>
          </w:tcPr>
          <w:p>
            <w:pPr>
              <w:jc w:val="center"/>
            </w:pPr>
            <w:r>
              <w:rPr>
                <w:rFonts w:ascii="Calibri" w:hAnsi="Calibri"/>
                <w:sz w:val="19"/>
              </w:rPr>
              <w:t>101.0</w:t>
            </w:r>
          </w:p>
        </w:tc>
        <w:tc>
          <w:tcPr>
            <w:tcW w:type="dxa" w:w="1296"/>
          </w:tcPr>
          <w:p>
            <w:pPr>
              <w:jc w:val="center"/>
            </w:pPr>
            <w:r>
              <w:rPr>
                <w:rFonts w:ascii="Calibri" w:hAnsi="Calibri"/>
                <w:sz w:val="19"/>
              </w:rPr>
              <w:t>102.6</w:t>
            </w:r>
          </w:p>
        </w:tc>
        <w:tc>
          <w:tcPr>
            <w:tcW w:type="dxa" w:w="1296"/>
          </w:tcPr>
          <w:p>
            <w:pPr>
              <w:jc w:val="center"/>
            </w:pPr>
            <w:r>
              <w:rPr>
                <w:rFonts w:ascii="Calibri" w:hAnsi="Calibri"/>
                <w:sz w:val="19"/>
              </w:rPr>
              <w:t>100.7</w:t>
            </w:r>
          </w:p>
        </w:tc>
        <w:tc>
          <w:tcPr>
            <w:tcW w:type="dxa" w:w="1296"/>
          </w:tcPr>
          <w:p>
            <w:pPr>
              <w:jc w:val="center"/>
            </w:pPr>
            <w:r>
              <w:rPr>
                <w:rFonts w:ascii="Calibri" w:hAnsi="Calibri"/>
                <w:sz w:val="19"/>
              </w:rPr>
              <w:t>110.0</w:t>
            </w:r>
          </w:p>
        </w:tc>
      </w:tr>
      <w:tr>
        <w:tc>
          <w:tcPr>
            <w:tcW w:type="dxa" w:w="1296"/>
          </w:tcPr>
          <w:p>
            <w:pPr>
              <w:jc w:val="center"/>
            </w:pPr>
            <w:r>
              <w:rPr>
                <w:rFonts w:ascii="Calibri" w:hAnsi="Calibri"/>
                <w:sz w:val="19"/>
              </w:rPr>
              <w:t>Transactions per Customer</w:t>
            </w:r>
          </w:p>
        </w:tc>
        <w:tc>
          <w:tcPr>
            <w:tcW w:type="dxa" w:w="1296"/>
          </w:tcPr>
          <w:p>
            <w:pPr>
              <w:jc w:val="center"/>
            </w:pPr>
            <w:r>
              <w:rPr>
                <w:rFonts w:ascii="Calibri" w:hAnsi="Calibri"/>
                <w:sz w:val="19"/>
              </w:rPr>
              <w:t>1.3</w:t>
            </w:r>
          </w:p>
        </w:tc>
        <w:tc>
          <w:tcPr>
            <w:tcW w:type="dxa" w:w="1296"/>
          </w:tcPr>
          <w:p>
            <w:pPr>
              <w:jc w:val="center"/>
            </w:pPr>
            <w:r>
              <w:rPr>
                <w:rFonts w:ascii="Calibri" w:hAnsi="Calibri"/>
                <w:sz w:val="19"/>
              </w:rPr>
              <w:t>1.2</w:t>
            </w:r>
          </w:p>
        </w:tc>
        <w:tc>
          <w:tcPr>
            <w:tcW w:type="dxa" w:w="1296"/>
          </w:tcPr>
          <w:p>
            <w:pPr>
              <w:jc w:val="center"/>
            </w:pPr>
            <w:r>
              <w:rPr>
                <w:rFonts w:ascii="Calibri" w:hAnsi="Calibri"/>
                <w:sz w:val="19"/>
              </w:rPr>
              <w:t>1.2</w:t>
            </w:r>
          </w:p>
        </w:tc>
        <w:tc>
          <w:tcPr>
            <w:tcW w:type="dxa" w:w="1296"/>
          </w:tcPr>
          <w:p>
            <w:pPr>
              <w:jc w:val="center"/>
            </w:pPr>
            <w:r>
              <w:rPr>
                <w:rFonts w:ascii="Calibri" w:hAnsi="Calibri"/>
                <w:sz w:val="19"/>
              </w:rPr>
              <w:t>1.3</w:t>
            </w:r>
          </w:p>
        </w:tc>
        <w:tc>
          <w:tcPr>
            <w:tcW w:type="dxa" w:w="1296"/>
          </w:tcPr>
          <w:p>
            <w:pPr>
              <w:jc w:val="center"/>
            </w:pPr>
            <w:r>
              <w:rPr>
                <w:rFonts w:ascii="Calibri" w:hAnsi="Calibri"/>
                <w:sz w:val="19"/>
              </w:rPr>
              <w:t>1.3</w:t>
            </w:r>
          </w:p>
        </w:tc>
        <w:tc>
          <w:tcPr>
            <w:tcW w:type="dxa" w:w="1296"/>
          </w:tcPr>
          <w:p>
            <w:pPr>
              <w:jc w:val="center"/>
            </w:pPr>
            <w:r>
              <w:rPr>
                <w:rFonts w:ascii="Calibri" w:hAnsi="Calibri"/>
                <w:sz w:val="19"/>
              </w:rPr>
              <w:t>1.3</w:t>
            </w:r>
          </w:p>
        </w:tc>
      </w:tr>
    </w:tbl>
    <w:p/>
    <w:p>
      <w:pPr>
        <w:pStyle w:val="Heading3"/>
      </w:pPr>
      <w:r>
        <w:rPr>
          <w:color w:val="1D3557"/>
        </w:rPr>
        <w:t>t-Values — Store 86</w:t>
      </w:r>
    </w:p>
    <w:p>
      <w:r>
        <w:t>The t-value for each trial month measures how many standard deviations the percentage difference deviates from zero. A t-value exceeding ±2.0 (approximate 95th percentile) indicates statistical significance.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D3557"/>
          </w:tcPr>
          <w:p>
            <w:pPr>
              <w:jc w:val="center"/>
            </w:pPr>
            <w:r>
              <w:rPr>
                <w:rFonts w:ascii="Calibri" w:hAnsi="Calibri"/>
                <w:b/>
                <w:color w:val="FFFFFF"/>
                <w:sz w:val="19"/>
              </w:rPr>
              <w:t>Month</w:t>
            </w:r>
          </w:p>
        </w:tc>
        <w:tc>
          <w:tcPr>
            <w:tcW w:type="dxa" w:w="3024"/>
            <w:shd w:fill="1D3557"/>
          </w:tcPr>
          <w:p>
            <w:pPr>
              <w:jc w:val="center"/>
            </w:pPr>
            <w:r>
              <w:rPr>
                <w:rFonts w:ascii="Calibri" w:hAnsi="Calibri"/>
                <w:b/>
                <w:color w:val="FFFFFF"/>
                <w:sz w:val="19"/>
              </w:rPr>
              <w:t>% Difference</w:t>
            </w:r>
          </w:p>
        </w:tc>
        <w:tc>
          <w:tcPr>
            <w:tcW w:type="dxa" w:w="3024"/>
            <w:shd w:fill="1D3557"/>
          </w:tcPr>
          <w:p>
            <w:pPr>
              <w:jc w:val="center"/>
            </w:pPr>
            <w:r>
              <w:rPr>
                <w:rFonts w:ascii="Calibri" w:hAnsi="Calibri"/>
                <w:b/>
                <w:color w:val="FFFFFF"/>
                <w:sz w:val="19"/>
              </w:rPr>
              <w:t>t-Value</w:t>
            </w:r>
          </w:p>
        </w:tc>
      </w:tr>
      <w:tr>
        <w:tc>
          <w:tcPr>
            <w:tcW w:type="dxa" w:w="3024"/>
          </w:tcPr>
          <w:p>
            <w:pPr>
              <w:jc w:val="center"/>
            </w:pPr>
            <w:r>
              <w:rPr>
                <w:rFonts w:ascii="Calibri" w:hAnsi="Calibri"/>
                <w:sz w:val="19"/>
              </w:rPr>
              <w:t>Feb 2019</w:t>
            </w:r>
          </w:p>
        </w:tc>
        <w:tc>
          <w:tcPr>
            <w:tcW w:type="dxa" w:w="3024"/>
          </w:tcPr>
          <w:p>
            <w:pPr>
              <w:jc w:val="center"/>
            </w:pPr>
            <w:r>
              <w:rPr>
                <w:rFonts w:ascii="Calibri" w:hAnsi="Calibri"/>
                <w:sz w:val="19"/>
              </w:rPr>
              <w:t>-26.04%</w:t>
            </w:r>
          </w:p>
        </w:tc>
        <w:tc>
          <w:tcPr>
            <w:tcW w:type="dxa" w:w="3024"/>
          </w:tcPr>
          <w:p>
            <w:pPr>
              <w:jc w:val="center"/>
            </w:pPr>
            <w:r>
              <w:rPr>
                <w:rFonts w:ascii="Calibri" w:hAnsi="Calibri"/>
                <w:sz w:val="19"/>
              </w:rPr>
              <w:t>-3.08</w:t>
            </w:r>
          </w:p>
        </w:tc>
      </w:tr>
      <w:tr>
        <w:tc>
          <w:tcPr>
            <w:tcW w:type="dxa" w:w="3024"/>
          </w:tcPr>
          <w:p>
            <w:pPr>
              <w:jc w:val="center"/>
            </w:pPr>
            <w:r>
              <w:rPr>
                <w:rFonts w:ascii="Calibri" w:hAnsi="Calibri"/>
                <w:sz w:val="19"/>
              </w:rPr>
              <w:t>Mar 2019</w:t>
            </w:r>
          </w:p>
        </w:tc>
        <w:tc>
          <w:tcPr>
            <w:tcW w:type="dxa" w:w="3024"/>
          </w:tcPr>
          <w:p>
            <w:pPr>
              <w:jc w:val="center"/>
            </w:pPr>
            <w:r>
              <w:rPr>
                <w:rFonts w:ascii="Calibri" w:hAnsi="Calibri"/>
                <w:sz w:val="19"/>
              </w:rPr>
              <w:t>-12.79%</w:t>
            </w:r>
          </w:p>
        </w:tc>
        <w:tc>
          <w:tcPr>
            <w:tcW w:type="dxa" w:w="3024"/>
          </w:tcPr>
          <w:p>
            <w:pPr>
              <w:jc w:val="center"/>
            </w:pPr>
            <w:r>
              <w:rPr>
                <w:rFonts w:ascii="Calibri" w:hAnsi="Calibri"/>
                <w:sz w:val="19"/>
              </w:rPr>
              <w:t>-1.51</w:t>
            </w:r>
          </w:p>
        </w:tc>
      </w:tr>
      <w:tr>
        <w:tc>
          <w:tcPr>
            <w:tcW w:type="dxa" w:w="3024"/>
          </w:tcPr>
          <w:p>
            <w:pPr>
              <w:jc w:val="center"/>
            </w:pPr>
            <w:r>
              <w:rPr>
                <w:rFonts w:ascii="Calibri" w:hAnsi="Calibri"/>
                <w:sz w:val="19"/>
              </w:rPr>
              <w:t>Apr 2019</w:t>
            </w:r>
          </w:p>
        </w:tc>
        <w:tc>
          <w:tcPr>
            <w:tcW w:type="dxa" w:w="3024"/>
          </w:tcPr>
          <w:p>
            <w:pPr>
              <w:jc w:val="center"/>
            </w:pPr>
            <w:r>
              <w:rPr>
                <w:rFonts w:ascii="Calibri" w:hAnsi="Calibri"/>
                <w:sz w:val="19"/>
              </w:rPr>
              <w:t>-5.05%</w:t>
            </w:r>
          </w:p>
        </w:tc>
        <w:tc>
          <w:tcPr>
            <w:tcW w:type="dxa" w:w="3024"/>
          </w:tcPr>
          <w:p>
            <w:pPr>
              <w:jc w:val="center"/>
            </w:pPr>
            <w:r>
              <w:rPr>
                <w:rFonts w:ascii="Calibri" w:hAnsi="Calibri"/>
                <w:sz w:val="19"/>
              </w:rPr>
              <w:t>-0.60</w:t>
            </w:r>
          </w:p>
        </w:tc>
      </w:tr>
    </w:tbl>
    <w:p/>
    <w:p>
      <w:pPr>
        <w:jc w:val="center"/>
      </w:pPr>
      <w:r>
        <w:drawing>
          <wp:inline xmlns:a="http://schemas.openxmlformats.org/drawingml/2006/main" xmlns:pic="http://schemas.openxmlformats.org/drawingml/2006/picture">
            <wp:extent cx="5120640" cy="2514199"/>
            <wp:docPr id="13" name="Picture 13"/>
            <wp:cNvGraphicFramePr>
              <a:graphicFrameLocks noChangeAspect="1"/>
            </wp:cNvGraphicFramePr>
            <a:graphic>
              <a:graphicData uri="http://schemas.openxmlformats.org/drawingml/2006/picture">
                <pic:pic>
                  <pic:nvPicPr>
                    <pic:cNvPr id="0" name="86_vs_138_totSales_assessment.png"/>
                    <pic:cNvPicPr/>
                  </pic:nvPicPr>
                  <pic:blipFill>
                    <a:blip r:embed="rId21"/>
                    <a:stretch>
                      <a:fillRect/>
                    </a:stretch>
                  </pic:blipFill>
                  <pic:spPr>
                    <a:xfrm>
                      <a:off x="0" y="0"/>
                      <a:ext cx="5120640" cy="2514199"/>
                    </a:xfrm>
                    <a:prstGeom prst="rect"/>
                  </pic:spPr>
                </pic:pic>
              </a:graphicData>
            </a:graphic>
          </wp:inline>
        </w:drawing>
      </w:r>
    </w:p>
    <w:p>
      <w:pPr>
        <w:jc w:val="center"/>
      </w:pPr>
      <w:r>
        <w:rPr>
          <w:i/>
          <w:color w:val="666666"/>
          <w:sz w:val="18"/>
        </w:rPr>
        <w:t>Figure: Total Sales ($) — Trial Assessment (Trial 86 vs Control 138)</w:t>
      </w:r>
    </w:p>
    <w:p>
      <w:pPr>
        <w:jc w:val="center"/>
      </w:pPr>
      <w:r>
        <w:drawing>
          <wp:inline xmlns:a="http://schemas.openxmlformats.org/drawingml/2006/main" xmlns:pic="http://schemas.openxmlformats.org/drawingml/2006/picture">
            <wp:extent cx="5120640" cy="2515361"/>
            <wp:docPr id="14" name="Picture 14"/>
            <wp:cNvGraphicFramePr>
              <a:graphicFrameLocks noChangeAspect="1"/>
            </wp:cNvGraphicFramePr>
            <a:graphic>
              <a:graphicData uri="http://schemas.openxmlformats.org/drawingml/2006/picture">
                <pic:pic>
                  <pic:nvPicPr>
                    <pic:cNvPr id="0" name="86_vs_138_nCustomers_assessment.png"/>
                    <pic:cNvPicPr/>
                  </pic:nvPicPr>
                  <pic:blipFill>
                    <a:blip r:embed="rId22"/>
                    <a:stretch>
                      <a:fillRect/>
                    </a:stretch>
                  </pic:blipFill>
                  <pic:spPr>
                    <a:xfrm>
                      <a:off x="0" y="0"/>
                      <a:ext cx="5120640" cy="2515361"/>
                    </a:xfrm>
                    <a:prstGeom prst="rect"/>
                  </pic:spPr>
                </pic:pic>
              </a:graphicData>
            </a:graphic>
          </wp:inline>
        </w:drawing>
      </w:r>
    </w:p>
    <w:p>
      <w:pPr>
        <w:jc w:val="center"/>
      </w:pPr>
      <w:r>
        <w:rPr>
          <w:i/>
          <w:color w:val="666666"/>
          <w:sz w:val="18"/>
        </w:rPr>
        <w:t>Figure: Number of Customers — Trial Assessment (Trial 86 vs Control 138)</w:t>
      </w:r>
    </w:p>
    <w:p>
      <w:pPr>
        <w:jc w:val="center"/>
      </w:pPr>
      <w:r>
        <w:drawing>
          <wp:inline xmlns:a="http://schemas.openxmlformats.org/drawingml/2006/main" xmlns:pic="http://schemas.openxmlformats.org/drawingml/2006/picture">
            <wp:extent cx="5120640" cy="2515361"/>
            <wp:docPr id="15" name="Picture 15"/>
            <wp:cNvGraphicFramePr>
              <a:graphicFrameLocks noChangeAspect="1"/>
            </wp:cNvGraphicFramePr>
            <a:graphic>
              <a:graphicData uri="http://schemas.openxmlformats.org/drawingml/2006/picture">
                <pic:pic>
                  <pic:nvPicPr>
                    <pic:cNvPr id="0" name="86_vs_138_nTxnPerCust_assessment.png"/>
                    <pic:cNvPicPr/>
                  </pic:nvPicPr>
                  <pic:blipFill>
                    <a:blip r:embed="rId23"/>
                    <a:stretch>
                      <a:fillRect/>
                    </a:stretch>
                  </pic:blipFill>
                  <pic:spPr>
                    <a:xfrm>
                      <a:off x="0" y="0"/>
                      <a:ext cx="5120640" cy="2515361"/>
                    </a:xfrm>
                    <a:prstGeom prst="rect"/>
                  </pic:spPr>
                </pic:pic>
              </a:graphicData>
            </a:graphic>
          </wp:inline>
        </w:drawing>
      </w:r>
    </w:p>
    <w:p>
      <w:pPr>
        <w:jc w:val="center"/>
      </w:pPr>
      <w:r>
        <w:rPr>
          <w:i/>
          <w:color w:val="666666"/>
          <w:sz w:val="18"/>
        </w:rPr>
        <w:t>Figure: Transactions per Customer — Trial Assessment (Trial 86 vs Control 138)</w:t>
      </w:r>
    </w:p>
    <w:p>
      <w:r>
        <w:br w:type="page"/>
      </w:r>
    </w:p>
    <w:p>
      <w:pPr>
        <w:pStyle w:val="Heading2"/>
      </w:pPr>
      <w:r>
        <w:rPr>
          <w:color w:val="1D3557"/>
        </w:rPr>
        <w:t>5.3 Trial Store 88 vs Control Store 201</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D3557"/>
          </w:tcPr>
          <w:p>
            <w:pPr>
              <w:jc w:val="center"/>
            </w:pPr>
            <w:r>
              <w:rPr>
                <w:rFonts w:ascii="Calibri" w:hAnsi="Calibri"/>
                <w:b/>
                <w:color w:val="FFFFFF"/>
                <w:sz w:val="19"/>
              </w:rPr>
              <w:t>Metric</w:t>
            </w:r>
          </w:p>
        </w:tc>
        <w:tc>
          <w:tcPr>
            <w:tcW w:type="dxa" w:w="1296"/>
            <w:shd w:fill="1D3557"/>
          </w:tcPr>
          <w:p>
            <w:pPr>
              <w:jc w:val="center"/>
            </w:pPr>
            <w:r>
              <w:rPr>
                <w:rFonts w:ascii="Calibri" w:hAnsi="Calibri"/>
                <w:b/>
                <w:color w:val="FFFFFF"/>
                <w:sz w:val="19"/>
              </w:rPr>
              <w:t>Trial Pre</w:t>
            </w:r>
          </w:p>
        </w:tc>
        <w:tc>
          <w:tcPr>
            <w:tcW w:type="dxa" w:w="1296"/>
            <w:shd w:fill="1D3557"/>
          </w:tcPr>
          <w:p>
            <w:pPr>
              <w:jc w:val="center"/>
            </w:pPr>
            <w:r>
              <w:rPr>
                <w:rFonts w:ascii="Calibri" w:hAnsi="Calibri"/>
                <w:b/>
                <w:color w:val="FFFFFF"/>
                <w:sz w:val="19"/>
              </w:rPr>
              <w:t>Trial During</w:t>
            </w:r>
          </w:p>
        </w:tc>
        <w:tc>
          <w:tcPr>
            <w:tcW w:type="dxa" w:w="1296"/>
            <w:shd w:fill="1D3557"/>
          </w:tcPr>
          <w:p>
            <w:pPr>
              <w:jc w:val="center"/>
            </w:pPr>
            <w:r>
              <w:rPr>
                <w:rFonts w:ascii="Calibri" w:hAnsi="Calibri"/>
                <w:b/>
                <w:color w:val="FFFFFF"/>
                <w:sz w:val="19"/>
              </w:rPr>
              <w:t>Trial Post</w:t>
            </w:r>
          </w:p>
        </w:tc>
        <w:tc>
          <w:tcPr>
            <w:tcW w:type="dxa" w:w="1296"/>
            <w:shd w:fill="1D3557"/>
          </w:tcPr>
          <w:p>
            <w:pPr>
              <w:jc w:val="center"/>
            </w:pPr>
            <w:r>
              <w:rPr>
                <w:rFonts w:ascii="Calibri" w:hAnsi="Calibri"/>
                <w:b/>
                <w:color w:val="FFFFFF"/>
                <w:sz w:val="19"/>
              </w:rPr>
              <w:t>Ctrl Pre</w:t>
            </w:r>
          </w:p>
        </w:tc>
        <w:tc>
          <w:tcPr>
            <w:tcW w:type="dxa" w:w="1296"/>
            <w:shd w:fill="1D3557"/>
          </w:tcPr>
          <w:p>
            <w:pPr>
              <w:jc w:val="center"/>
            </w:pPr>
            <w:r>
              <w:rPr>
                <w:rFonts w:ascii="Calibri" w:hAnsi="Calibri"/>
                <w:b/>
                <w:color w:val="FFFFFF"/>
                <w:sz w:val="19"/>
              </w:rPr>
              <w:t>Ctrl During</w:t>
            </w:r>
          </w:p>
        </w:tc>
        <w:tc>
          <w:tcPr>
            <w:tcW w:type="dxa" w:w="1296"/>
            <w:shd w:fill="1D3557"/>
          </w:tcPr>
          <w:p>
            <w:pPr>
              <w:jc w:val="center"/>
            </w:pPr>
            <w:r>
              <w:rPr>
                <w:rFonts w:ascii="Calibri" w:hAnsi="Calibri"/>
                <w:b/>
                <w:color w:val="FFFFFF"/>
                <w:sz w:val="19"/>
              </w:rPr>
              <w:t>Ctrl Post</w:t>
            </w:r>
          </w:p>
        </w:tc>
      </w:tr>
      <w:tr>
        <w:tc>
          <w:tcPr>
            <w:tcW w:type="dxa" w:w="1296"/>
          </w:tcPr>
          <w:p>
            <w:pPr>
              <w:jc w:val="center"/>
            </w:pPr>
            <w:r>
              <w:rPr>
                <w:rFonts w:ascii="Calibri" w:hAnsi="Calibri"/>
                <w:sz w:val="19"/>
              </w:rPr>
              <w:t>Total Sales ($)</w:t>
            </w:r>
          </w:p>
        </w:tc>
        <w:tc>
          <w:tcPr>
            <w:tcW w:type="dxa" w:w="1296"/>
          </w:tcPr>
          <w:p>
            <w:pPr>
              <w:jc w:val="center"/>
            </w:pPr>
            <w:r>
              <w:rPr>
                <w:rFonts w:ascii="Calibri" w:hAnsi="Calibri"/>
                <w:sz w:val="19"/>
              </w:rPr>
              <w:t>1,340.5</w:t>
            </w:r>
          </w:p>
        </w:tc>
        <w:tc>
          <w:tcPr>
            <w:tcW w:type="dxa" w:w="1296"/>
          </w:tcPr>
          <w:p>
            <w:pPr>
              <w:jc w:val="center"/>
            </w:pPr>
            <w:r>
              <w:rPr>
                <w:rFonts w:ascii="Calibri" w:hAnsi="Calibri"/>
                <w:sz w:val="19"/>
              </w:rPr>
              <w:t>1,428.9</w:t>
            </w:r>
          </w:p>
        </w:tc>
        <w:tc>
          <w:tcPr>
            <w:tcW w:type="dxa" w:w="1296"/>
          </w:tcPr>
          <w:p>
            <w:pPr>
              <w:jc w:val="center"/>
            </w:pPr>
            <w:r>
              <w:rPr>
                <w:rFonts w:ascii="Calibri" w:hAnsi="Calibri"/>
                <w:sz w:val="19"/>
              </w:rPr>
              <w:t>1,331.4</w:t>
            </w:r>
          </w:p>
        </w:tc>
        <w:tc>
          <w:tcPr>
            <w:tcW w:type="dxa" w:w="1296"/>
          </w:tcPr>
          <w:p>
            <w:pPr>
              <w:jc w:val="center"/>
            </w:pPr>
            <w:r>
              <w:rPr>
                <w:rFonts w:ascii="Calibri" w:hAnsi="Calibri"/>
                <w:sz w:val="19"/>
              </w:rPr>
              <w:t>1,170.8</w:t>
            </w:r>
          </w:p>
        </w:tc>
        <w:tc>
          <w:tcPr>
            <w:tcW w:type="dxa" w:w="1296"/>
          </w:tcPr>
          <w:p>
            <w:pPr>
              <w:jc w:val="center"/>
            </w:pPr>
            <w:r>
              <w:rPr>
                <w:rFonts w:ascii="Calibri" w:hAnsi="Calibri"/>
                <w:sz w:val="19"/>
              </w:rPr>
              <w:t>1,250.0</w:t>
            </w:r>
          </w:p>
        </w:tc>
        <w:tc>
          <w:tcPr>
            <w:tcW w:type="dxa" w:w="1296"/>
          </w:tcPr>
          <w:p>
            <w:pPr>
              <w:jc w:val="center"/>
            </w:pPr>
            <w:r>
              <w:rPr>
                <w:rFonts w:ascii="Calibri" w:hAnsi="Calibri"/>
                <w:sz w:val="19"/>
              </w:rPr>
              <w:t>1,176.7</w:t>
            </w:r>
          </w:p>
        </w:tc>
      </w:tr>
      <w:tr>
        <w:tc>
          <w:tcPr>
            <w:tcW w:type="dxa" w:w="1296"/>
          </w:tcPr>
          <w:p>
            <w:pPr>
              <w:jc w:val="center"/>
            </w:pPr>
            <w:r>
              <w:rPr>
                <w:rFonts w:ascii="Calibri" w:hAnsi="Calibri"/>
                <w:sz w:val="19"/>
              </w:rPr>
              <w:t>Number of Customers</w:t>
            </w:r>
          </w:p>
        </w:tc>
        <w:tc>
          <w:tcPr>
            <w:tcW w:type="dxa" w:w="1296"/>
          </w:tcPr>
          <w:p>
            <w:pPr>
              <w:jc w:val="center"/>
            </w:pPr>
            <w:r>
              <w:rPr>
                <w:rFonts w:ascii="Calibri" w:hAnsi="Calibri"/>
                <w:sz w:val="19"/>
              </w:rPr>
              <w:t>125.7</w:t>
            </w:r>
          </w:p>
        </w:tc>
        <w:tc>
          <w:tcPr>
            <w:tcW w:type="dxa" w:w="1296"/>
          </w:tcPr>
          <w:p>
            <w:pPr>
              <w:jc w:val="center"/>
            </w:pPr>
            <w:r>
              <w:rPr>
                <w:rFonts w:ascii="Calibri" w:hAnsi="Calibri"/>
                <w:sz w:val="19"/>
              </w:rPr>
              <w:t>128.7</w:t>
            </w:r>
          </w:p>
        </w:tc>
        <w:tc>
          <w:tcPr>
            <w:tcW w:type="dxa" w:w="1296"/>
          </w:tcPr>
          <w:p>
            <w:pPr>
              <w:jc w:val="center"/>
            </w:pPr>
            <w:r>
              <w:rPr>
                <w:rFonts w:ascii="Calibri" w:hAnsi="Calibri"/>
                <w:sz w:val="19"/>
              </w:rPr>
              <w:t>124.5</w:t>
            </w:r>
          </w:p>
        </w:tc>
        <w:tc>
          <w:tcPr>
            <w:tcW w:type="dxa" w:w="1296"/>
          </w:tcPr>
          <w:p>
            <w:pPr>
              <w:jc w:val="center"/>
            </w:pPr>
            <w:r>
              <w:rPr>
                <w:rFonts w:ascii="Calibri" w:hAnsi="Calibri"/>
                <w:sz w:val="19"/>
              </w:rPr>
              <w:t>115.9</w:t>
            </w:r>
          </w:p>
        </w:tc>
        <w:tc>
          <w:tcPr>
            <w:tcW w:type="dxa" w:w="1296"/>
          </w:tcPr>
          <w:p>
            <w:pPr>
              <w:jc w:val="center"/>
            </w:pPr>
            <w:r>
              <w:rPr>
                <w:rFonts w:ascii="Calibri" w:hAnsi="Calibri"/>
                <w:sz w:val="19"/>
              </w:rPr>
              <w:t>121.0</w:t>
            </w:r>
          </w:p>
        </w:tc>
        <w:tc>
          <w:tcPr>
            <w:tcW w:type="dxa" w:w="1296"/>
          </w:tcPr>
          <w:p>
            <w:pPr>
              <w:jc w:val="center"/>
            </w:pPr>
            <w:r>
              <w:rPr>
                <w:rFonts w:ascii="Calibri" w:hAnsi="Calibri"/>
                <w:sz w:val="19"/>
              </w:rPr>
              <w:t>120.5</w:t>
            </w:r>
          </w:p>
        </w:tc>
      </w:tr>
      <w:tr>
        <w:tc>
          <w:tcPr>
            <w:tcW w:type="dxa" w:w="1296"/>
          </w:tcPr>
          <w:p>
            <w:pPr>
              <w:jc w:val="center"/>
            </w:pPr>
            <w:r>
              <w:rPr>
                <w:rFonts w:ascii="Calibri" w:hAnsi="Calibri"/>
                <w:sz w:val="19"/>
              </w:rPr>
              <w:t>Transactions per Customer</w:t>
            </w:r>
          </w:p>
        </w:tc>
        <w:tc>
          <w:tcPr>
            <w:tcW w:type="dxa" w:w="1296"/>
          </w:tcPr>
          <w:p>
            <w:pPr>
              <w:jc w:val="center"/>
            </w:pPr>
            <w:r>
              <w:rPr>
                <w:rFonts w:ascii="Calibri" w:hAnsi="Calibri"/>
                <w:sz w:val="19"/>
              </w:rPr>
              <w:t>1.2</w:t>
            </w:r>
          </w:p>
        </w:tc>
        <w:tc>
          <w:tcPr>
            <w:tcW w:type="dxa" w:w="1296"/>
          </w:tcPr>
          <w:p>
            <w:pPr>
              <w:jc w:val="center"/>
            </w:pPr>
            <w:r>
              <w:rPr>
                <w:rFonts w:ascii="Calibri" w:hAnsi="Calibri"/>
                <w:sz w:val="19"/>
              </w:rPr>
              <w:t>1.3</w:t>
            </w:r>
          </w:p>
        </w:tc>
        <w:tc>
          <w:tcPr>
            <w:tcW w:type="dxa" w:w="1296"/>
          </w:tcPr>
          <w:p>
            <w:pPr>
              <w:jc w:val="center"/>
            </w:pPr>
            <w:r>
              <w:rPr>
                <w:rFonts w:ascii="Calibri" w:hAnsi="Calibri"/>
                <w:sz w:val="19"/>
              </w:rPr>
              <w:t>1.2</w:t>
            </w:r>
          </w:p>
        </w:tc>
        <w:tc>
          <w:tcPr>
            <w:tcW w:type="dxa" w:w="1296"/>
          </w:tcPr>
          <w:p>
            <w:pPr>
              <w:jc w:val="center"/>
            </w:pPr>
            <w:r>
              <w:rPr>
                <w:rFonts w:ascii="Calibri" w:hAnsi="Calibri"/>
                <w:sz w:val="19"/>
              </w:rPr>
              <w:t>1.2</w:t>
            </w:r>
          </w:p>
        </w:tc>
        <w:tc>
          <w:tcPr>
            <w:tcW w:type="dxa" w:w="1296"/>
          </w:tcPr>
          <w:p>
            <w:pPr>
              <w:jc w:val="center"/>
            </w:pPr>
            <w:r>
              <w:rPr>
                <w:rFonts w:ascii="Calibri" w:hAnsi="Calibri"/>
                <w:sz w:val="19"/>
              </w:rPr>
              <w:t>1.2</w:t>
            </w:r>
          </w:p>
        </w:tc>
        <w:tc>
          <w:tcPr>
            <w:tcW w:type="dxa" w:w="1296"/>
          </w:tcPr>
          <w:p>
            <w:pPr>
              <w:jc w:val="center"/>
            </w:pPr>
            <w:r>
              <w:rPr>
                <w:rFonts w:ascii="Calibri" w:hAnsi="Calibri"/>
                <w:sz w:val="19"/>
              </w:rPr>
              <w:t>1.2</w:t>
            </w:r>
          </w:p>
        </w:tc>
      </w:tr>
    </w:tbl>
    <w:p/>
    <w:p>
      <w:pPr>
        <w:pStyle w:val="Heading3"/>
      </w:pPr>
      <w:r>
        <w:rPr>
          <w:color w:val="1D3557"/>
        </w:rPr>
        <w:t>t-Values — Store 88</w:t>
      </w:r>
    </w:p>
    <w:p>
      <w:r>
        <w:t>The t-value for each trial month measures how many standard deviations the percentage difference deviates from zero. A t-value exceeding ±2.0 (approximate 95th percentile) indicates statistical significance.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D3557"/>
          </w:tcPr>
          <w:p>
            <w:pPr>
              <w:jc w:val="center"/>
            </w:pPr>
            <w:r>
              <w:rPr>
                <w:rFonts w:ascii="Calibri" w:hAnsi="Calibri"/>
                <w:b/>
                <w:color w:val="FFFFFF"/>
                <w:sz w:val="19"/>
              </w:rPr>
              <w:t>Month</w:t>
            </w:r>
          </w:p>
        </w:tc>
        <w:tc>
          <w:tcPr>
            <w:tcW w:type="dxa" w:w="3024"/>
            <w:shd w:fill="1D3557"/>
          </w:tcPr>
          <w:p>
            <w:pPr>
              <w:jc w:val="center"/>
            </w:pPr>
            <w:r>
              <w:rPr>
                <w:rFonts w:ascii="Calibri" w:hAnsi="Calibri"/>
                <w:b/>
                <w:color w:val="FFFFFF"/>
                <w:sz w:val="19"/>
              </w:rPr>
              <w:t>% Difference</w:t>
            </w:r>
          </w:p>
        </w:tc>
        <w:tc>
          <w:tcPr>
            <w:tcW w:type="dxa" w:w="3024"/>
            <w:shd w:fill="1D3557"/>
          </w:tcPr>
          <w:p>
            <w:pPr>
              <w:jc w:val="center"/>
            </w:pPr>
            <w:r>
              <w:rPr>
                <w:rFonts w:ascii="Calibri" w:hAnsi="Calibri"/>
                <w:b/>
                <w:color w:val="FFFFFF"/>
                <w:sz w:val="19"/>
              </w:rPr>
              <w:t>t-Value</w:t>
            </w:r>
          </w:p>
        </w:tc>
      </w:tr>
      <w:tr>
        <w:tc>
          <w:tcPr>
            <w:tcW w:type="dxa" w:w="3024"/>
          </w:tcPr>
          <w:p>
            <w:pPr>
              <w:jc w:val="center"/>
            </w:pPr>
            <w:r>
              <w:rPr>
                <w:rFonts w:ascii="Calibri" w:hAnsi="Calibri"/>
                <w:sz w:val="19"/>
              </w:rPr>
              <w:t>Feb 2019</w:t>
            </w:r>
          </w:p>
        </w:tc>
        <w:tc>
          <w:tcPr>
            <w:tcW w:type="dxa" w:w="3024"/>
          </w:tcPr>
          <w:p>
            <w:pPr>
              <w:jc w:val="center"/>
            </w:pPr>
            <w:r>
              <w:rPr>
                <w:rFonts w:ascii="Calibri" w:hAnsi="Calibri"/>
                <w:sz w:val="19"/>
              </w:rPr>
              <w:t>-5.05%</w:t>
            </w:r>
          </w:p>
        </w:tc>
        <w:tc>
          <w:tcPr>
            <w:tcW w:type="dxa" w:w="3024"/>
          </w:tcPr>
          <w:p>
            <w:pPr>
              <w:jc w:val="center"/>
            </w:pPr>
            <w:r>
              <w:rPr>
                <w:rFonts w:ascii="Calibri" w:hAnsi="Calibri"/>
                <w:sz w:val="19"/>
              </w:rPr>
              <w:t>-1.13</w:t>
            </w:r>
          </w:p>
        </w:tc>
      </w:tr>
      <w:tr>
        <w:tc>
          <w:tcPr>
            <w:tcW w:type="dxa" w:w="3024"/>
          </w:tcPr>
          <w:p>
            <w:pPr>
              <w:jc w:val="center"/>
            </w:pPr>
            <w:r>
              <w:rPr>
                <w:rFonts w:ascii="Calibri" w:hAnsi="Calibri"/>
                <w:sz w:val="19"/>
              </w:rPr>
              <w:t>Mar 2019</w:t>
            </w:r>
          </w:p>
        </w:tc>
        <w:tc>
          <w:tcPr>
            <w:tcW w:type="dxa" w:w="3024"/>
          </w:tcPr>
          <w:p>
            <w:pPr>
              <w:jc w:val="center"/>
            </w:pPr>
            <w:r>
              <w:rPr>
                <w:rFonts w:ascii="Calibri" w:hAnsi="Calibri"/>
                <w:sz w:val="19"/>
              </w:rPr>
              <w:t>5.43%</w:t>
            </w:r>
          </w:p>
        </w:tc>
        <w:tc>
          <w:tcPr>
            <w:tcW w:type="dxa" w:w="3024"/>
          </w:tcPr>
          <w:p>
            <w:pPr>
              <w:jc w:val="center"/>
            </w:pPr>
            <w:r>
              <w:rPr>
                <w:rFonts w:ascii="Calibri" w:hAnsi="Calibri"/>
                <w:sz w:val="19"/>
              </w:rPr>
              <w:t>1.21</w:t>
            </w:r>
          </w:p>
        </w:tc>
      </w:tr>
      <w:tr>
        <w:tc>
          <w:tcPr>
            <w:tcW w:type="dxa" w:w="3024"/>
          </w:tcPr>
          <w:p>
            <w:pPr>
              <w:jc w:val="center"/>
            </w:pPr>
            <w:r>
              <w:rPr>
                <w:rFonts w:ascii="Calibri" w:hAnsi="Calibri"/>
                <w:sz w:val="19"/>
              </w:rPr>
              <w:t>Apr 2019</w:t>
            </w:r>
          </w:p>
        </w:tc>
        <w:tc>
          <w:tcPr>
            <w:tcW w:type="dxa" w:w="3024"/>
          </w:tcPr>
          <w:p>
            <w:pPr>
              <w:jc w:val="center"/>
            </w:pPr>
            <w:r>
              <w:rPr>
                <w:rFonts w:ascii="Calibri" w:hAnsi="Calibri"/>
                <w:sz w:val="19"/>
              </w:rPr>
              <w:t>-0.85%</w:t>
            </w:r>
          </w:p>
        </w:tc>
        <w:tc>
          <w:tcPr>
            <w:tcW w:type="dxa" w:w="3024"/>
          </w:tcPr>
          <w:p>
            <w:pPr>
              <w:jc w:val="center"/>
            </w:pPr>
            <w:r>
              <w:rPr>
                <w:rFonts w:ascii="Calibri" w:hAnsi="Calibri"/>
                <w:sz w:val="19"/>
              </w:rPr>
              <w:t>-0.19</w:t>
            </w:r>
          </w:p>
        </w:tc>
      </w:tr>
    </w:tbl>
    <w:p/>
    <w:p>
      <w:pPr>
        <w:jc w:val="center"/>
      </w:pPr>
      <w:r>
        <w:drawing>
          <wp:inline xmlns:a="http://schemas.openxmlformats.org/drawingml/2006/main" xmlns:pic="http://schemas.openxmlformats.org/drawingml/2006/picture">
            <wp:extent cx="5120640" cy="2514199"/>
            <wp:docPr id="16" name="Picture 16"/>
            <wp:cNvGraphicFramePr>
              <a:graphicFrameLocks noChangeAspect="1"/>
            </wp:cNvGraphicFramePr>
            <a:graphic>
              <a:graphicData uri="http://schemas.openxmlformats.org/drawingml/2006/picture">
                <pic:pic>
                  <pic:nvPicPr>
                    <pic:cNvPr id="0" name="88_vs_201_totSales_assessment.png"/>
                    <pic:cNvPicPr/>
                  </pic:nvPicPr>
                  <pic:blipFill>
                    <a:blip r:embed="rId24"/>
                    <a:stretch>
                      <a:fillRect/>
                    </a:stretch>
                  </pic:blipFill>
                  <pic:spPr>
                    <a:xfrm>
                      <a:off x="0" y="0"/>
                      <a:ext cx="5120640" cy="2514199"/>
                    </a:xfrm>
                    <a:prstGeom prst="rect"/>
                  </pic:spPr>
                </pic:pic>
              </a:graphicData>
            </a:graphic>
          </wp:inline>
        </w:drawing>
      </w:r>
    </w:p>
    <w:p>
      <w:pPr>
        <w:jc w:val="center"/>
      </w:pPr>
      <w:r>
        <w:rPr>
          <w:i/>
          <w:color w:val="666666"/>
          <w:sz w:val="18"/>
        </w:rPr>
        <w:t>Figure: Total Sales ($) — Trial Assessment (Trial 88 vs Control 201)</w:t>
      </w:r>
    </w:p>
    <w:p>
      <w:pPr>
        <w:jc w:val="center"/>
      </w:pPr>
      <w:r>
        <w:drawing>
          <wp:inline xmlns:a="http://schemas.openxmlformats.org/drawingml/2006/main" xmlns:pic="http://schemas.openxmlformats.org/drawingml/2006/picture">
            <wp:extent cx="5120640" cy="2515361"/>
            <wp:docPr id="17" name="Picture 17"/>
            <wp:cNvGraphicFramePr>
              <a:graphicFrameLocks noChangeAspect="1"/>
            </wp:cNvGraphicFramePr>
            <a:graphic>
              <a:graphicData uri="http://schemas.openxmlformats.org/drawingml/2006/picture">
                <pic:pic>
                  <pic:nvPicPr>
                    <pic:cNvPr id="0" name="88_vs_201_nCustomers_assessment.png"/>
                    <pic:cNvPicPr/>
                  </pic:nvPicPr>
                  <pic:blipFill>
                    <a:blip r:embed="rId25"/>
                    <a:stretch>
                      <a:fillRect/>
                    </a:stretch>
                  </pic:blipFill>
                  <pic:spPr>
                    <a:xfrm>
                      <a:off x="0" y="0"/>
                      <a:ext cx="5120640" cy="2515361"/>
                    </a:xfrm>
                    <a:prstGeom prst="rect"/>
                  </pic:spPr>
                </pic:pic>
              </a:graphicData>
            </a:graphic>
          </wp:inline>
        </w:drawing>
      </w:r>
    </w:p>
    <w:p>
      <w:pPr>
        <w:jc w:val="center"/>
      </w:pPr>
      <w:r>
        <w:rPr>
          <w:i/>
          <w:color w:val="666666"/>
          <w:sz w:val="18"/>
        </w:rPr>
        <w:t>Figure: Number of Customers — Trial Assessment (Trial 88 vs Control 201)</w:t>
      </w:r>
    </w:p>
    <w:p>
      <w:pPr>
        <w:jc w:val="center"/>
      </w:pPr>
      <w:r>
        <w:drawing>
          <wp:inline xmlns:a="http://schemas.openxmlformats.org/drawingml/2006/main" xmlns:pic="http://schemas.openxmlformats.org/drawingml/2006/picture">
            <wp:extent cx="5120640" cy="2515361"/>
            <wp:docPr id="18" name="Picture 18"/>
            <wp:cNvGraphicFramePr>
              <a:graphicFrameLocks noChangeAspect="1"/>
            </wp:cNvGraphicFramePr>
            <a:graphic>
              <a:graphicData uri="http://schemas.openxmlformats.org/drawingml/2006/picture">
                <pic:pic>
                  <pic:nvPicPr>
                    <pic:cNvPr id="0" name="88_vs_201_nTxnPerCust_assessment.png"/>
                    <pic:cNvPicPr/>
                  </pic:nvPicPr>
                  <pic:blipFill>
                    <a:blip r:embed="rId26"/>
                    <a:stretch>
                      <a:fillRect/>
                    </a:stretch>
                  </pic:blipFill>
                  <pic:spPr>
                    <a:xfrm>
                      <a:off x="0" y="0"/>
                      <a:ext cx="5120640" cy="2515361"/>
                    </a:xfrm>
                    <a:prstGeom prst="rect"/>
                  </pic:spPr>
                </pic:pic>
              </a:graphicData>
            </a:graphic>
          </wp:inline>
        </w:drawing>
      </w:r>
    </w:p>
    <w:p>
      <w:pPr>
        <w:jc w:val="center"/>
      </w:pPr>
      <w:r>
        <w:rPr>
          <w:i/>
          <w:color w:val="666666"/>
          <w:sz w:val="18"/>
        </w:rPr>
        <w:t>Figure: Transactions per Customer — Trial Assessment (Trial 88 vs Control 201)</w:t>
      </w:r>
    </w:p>
    <w:p>
      <w:r>
        <w:br w:type="page"/>
      </w:r>
    </w:p>
    <w:p>
      <w:pPr>
        <w:pStyle w:val="Heading1"/>
      </w:pPr>
      <w:r>
        <w:rPr>
          <w:color w:val="1D3557"/>
        </w:rPr>
        <w:t>6. Post-Trial Impact Assessment</w:t>
      </w:r>
    </w:p>
    <w:p>
      <w:r>
        <w:t>The post-trial period (May – June 2019) assesses whether the trial's effects persisted after the intervention ended, or whether stores reverted to pre-trial levels. In the charts below, the post-trial period is shaded in light orange with a vertical line marking the trial end. The confidence interval bands from the control store continue into the post-trial period to aid visual comparison.</w:t>
      </w:r>
    </w:p>
    <w:p>
      <w:pPr>
        <w:pStyle w:val="Heading2"/>
      </w:pPr>
      <w:r>
        <w:rPr>
          <w:color w:val="1D3557"/>
        </w:rPr>
        <w:t>Store 77 — Post-Trial Summary</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D3557"/>
          </w:tcPr>
          <w:p>
            <w:pPr>
              <w:jc w:val="center"/>
            </w:pPr>
            <w:r>
              <w:rPr>
                <w:rFonts w:ascii="Calibri" w:hAnsi="Calibri"/>
                <w:b/>
                <w:color w:val="FFFFFF"/>
                <w:sz w:val="19"/>
              </w:rPr>
              <w:t>Metric</w:t>
            </w:r>
          </w:p>
        </w:tc>
        <w:tc>
          <w:tcPr>
            <w:tcW w:type="dxa" w:w="1512"/>
            <w:shd w:fill="1D3557"/>
          </w:tcPr>
          <w:p>
            <w:pPr>
              <w:jc w:val="center"/>
            </w:pPr>
            <w:r>
              <w:rPr>
                <w:rFonts w:ascii="Calibri" w:hAnsi="Calibri"/>
                <w:b/>
                <w:color w:val="FFFFFF"/>
                <w:sz w:val="19"/>
              </w:rPr>
              <w:t>Trial %Δ (During)</w:t>
            </w:r>
          </w:p>
        </w:tc>
        <w:tc>
          <w:tcPr>
            <w:tcW w:type="dxa" w:w="1512"/>
            <w:shd w:fill="1D3557"/>
          </w:tcPr>
          <w:p>
            <w:pPr>
              <w:jc w:val="center"/>
            </w:pPr>
            <w:r>
              <w:rPr>
                <w:rFonts w:ascii="Calibri" w:hAnsi="Calibri"/>
                <w:b/>
                <w:color w:val="FFFFFF"/>
                <w:sz w:val="19"/>
              </w:rPr>
              <w:t>Ctrl %Δ (During)</w:t>
            </w:r>
          </w:p>
        </w:tc>
        <w:tc>
          <w:tcPr>
            <w:tcW w:type="dxa" w:w="1512"/>
            <w:shd w:fill="1D3557"/>
          </w:tcPr>
          <w:p>
            <w:pPr>
              <w:jc w:val="center"/>
            </w:pPr>
            <w:r>
              <w:rPr>
                <w:rFonts w:ascii="Calibri" w:hAnsi="Calibri"/>
                <w:b/>
                <w:color w:val="FFFFFF"/>
                <w:sz w:val="19"/>
              </w:rPr>
              <w:t>Trial %Δ (Post)</w:t>
            </w:r>
          </w:p>
        </w:tc>
        <w:tc>
          <w:tcPr>
            <w:tcW w:type="dxa" w:w="1512"/>
            <w:shd w:fill="1D3557"/>
          </w:tcPr>
          <w:p>
            <w:pPr>
              <w:jc w:val="center"/>
            </w:pPr>
            <w:r>
              <w:rPr>
                <w:rFonts w:ascii="Calibri" w:hAnsi="Calibri"/>
                <w:b/>
                <w:color w:val="FFFFFF"/>
                <w:sz w:val="19"/>
              </w:rPr>
              <w:t>Ctrl %Δ (Post)</w:t>
            </w:r>
          </w:p>
        </w:tc>
        <w:tc>
          <w:tcPr>
            <w:tcW w:type="dxa" w:w="1512"/>
            <w:shd w:fill="1D3557"/>
          </w:tcPr>
          <w:p>
            <w:pPr>
              <w:jc w:val="center"/>
            </w:pPr>
            <w:r>
              <w:rPr>
                <w:rFonts w:ascii="Calibri" w:hAnsi="Calibri"/>
                <w:b/>
                <w:color w:val="FFFFFF"/>
                <w:sz w:val="19"/>
              </w:rPr>
              <w:t>Effect Persistent?</w:t>
            </w:r>
          </w:p>
        </w:tc>
      </w:tr>
      <w:tr>
        <w:tc>
          <w:tcPr>
            <w:tcW w:type="dxa" w:w="1512"/>
          </w:tcPr>
          <w:p>
            <w:pPr>
              <w:jc w:val="center"/>
            </w:pPr>
            <w:r>
              <w:rPr>
                <w:rFonts w:ascii="Calibri" w:hAnsi="Calibri"/>
                <w:sz w:val="19"/>
              </w:rPr>
              <w:t>Total Sales ($)</w:t>
            </w:r>
          </w:p>
        </w:tc>
        <w:tc>
          <w:tcPr>
            <w:tcW w:type="dxa" w:w="1512"/>
          </w:tcPr>
          <w:p>
            <w:pPr>
              <w:jc w:val="center"/>
            </w:pPr>
            <w:r>
              <w:rPr>
                <w:rFonts w:ascii="Calibri" w:hAnsi="Calibri"/>
                <w:sz w:val="19"/>
              </w:rPr>
              <w:t>+6.7%</w:t>
            </w:r>
          </w:p>
        </w:tc>
        <w:tc>
          <w:tcPr>
            <w:tcW w:type="dxa" w:w="1512"/>
          </w:tcPr>
          <w:p>
            <w:pPr>
              <w:jc w:val="center"/>
            </w:pPr>
            <w:r>
              <w:rPr>
                <w:rFonts w:ascii="Calibri" w:hAnsi="Calibri"/>
                <w:sz w:val="19"/>
              </w:rPr>
              <w:t>+2.7%</w:t>
            </w:r>
          </w:p>
        </w:tc>
        <w:tc>
          <w:tcPr>
            <w:tcW w:type="dxa" w:w="1512"/>
          </w:tcPr>
          <w:p>
            <w:pPr>
              <w:jc w:val="center"/>
            </w:pPr>
            <w:r>
              <w:rPr>
                <w:rFonts w:ascii="Calibri" w:hAnsi="Calibri"/>
                <w:sz w:val="19"/>
              </w:rPr>
              <w:t>+16.2%</w:t>
            </w:r>
          </w:p>
        </w:tc>
        <w:tc>
          <w:tcPr>
            <w:tcW w:type="dxa" w:w="1512"/>
          </w:tcPr>
          <w:p>
            <w:pPr>
              <w:jc w:val="center"/>
            </w:pPr>
            <w:r>
              <w:rPr>
                <w:rFonts w:ascii="Calibri" w:hAnsi="Calibri"/>
                <w:sz w:val="19"/>
              </w:rPr>
              <w:t>-22.0%</w:t>
            </w:r>
          </w:p>
        </w:tc>
        <w:tc>
          <w:tcPr>
            <w:tcW w:type="dxa" w:w="1512"/>
          </w:tcPr>
          <w:p>
            <w:pPr>
              <w:jc w:val="center"/>
            </w:pPr>
            <w:r>
              <w:rPr>
                <w:rFonts w:ascii="Calibri" w:hAnsi="Calibri"/>
                <w:sz w:val="19"/>
              </w:rPr>
              <w:t>Yes (sustained)</w:t>
            </w:r>
          </w:p>
        </w:tc>
      </w:tr>
      <w:tr>
        <w:tc>
          <w:tcPr>
            <w:tcW w:type="dxa" w:w="1512"/>
          </w:tcPr>
          <w:p>
            <w:pPr>
              <w:jc w:val="center"/>
            </w:pPr>
            <w:r>
              <w:rPr>
                <w:rFonts w:ascii="Calibri" w:hAnsi="Calibri"/>
                <w:sz w:val="19"/>
              </w:rPr>
              <w:t>Number of Customers</w:t>
            </w:r>
          </w:p>
        </w:tc>
        <w:tc>
          <w:tcPr>
            <w:tcW w:type="dxa" w:w="1512"/>
          </w:tcPr>
          <w:p>
            <w:pPr>
              <w:jc w:val="center"/>
            </w:pPr>
            <w:r>
              <w:rPr>
                <w:rFonts w:ascii="Calibri" w:hAnsi="Calibri"/>
                <w:sz w:val="19"/>
              </w:rPr>
              <w:t>+10.8%</w:t>
            </w:r>
          </w:p>
        </w:tc>
        <w:tc>
          <w:tcPr>
            <w:tcW w:type="dxa" w:w="1512"/>
          </w:tcPr>
          <w:p>
            <w:pPr>
              <w:jc w:val="center"/>
            </w:pPr>
            <w:r>
              <w:rPr>
                <w:rFonts w:ascii="Calibri" w:hAnsi="Calibri"/>
                <w:sz w:val="19"/>
              </w:rPr>
              <w:t>+6.0%</w:t>
            </w:r>
          </w:p>
        </w:tc>
        <w:tc>
          <w:tcPr>
            <w:tcW w:type="dxa" w:w="1512"/>
          </w:tcPr>
          <w:p>
            <w:pPr>
              <w:jc w:val="center"/>
            </w:pPr>
            <w:r>
              <w:rPr>
                <w:rFonts w:ascii="Calibri" w:hAnsi="Calibri"/>
                <w:sz w:val="19"/>
              </w:rPr>
              <w:t>+12.4%</w:t>
            </w:r>
          </w:p>
        </w:tc>
        <w:tc>
          <w:tcPr>
            <w:tcW w:type="dxa" w:w="1512"/>
          </w:tcPr>
          <w:p>
            <w:pPr>
              <w:jc w:val="center"/>
            </w:pPr>
            <w:r>
              <w:rPr>
                <w:rFonts w:ascii="Calibri" w:hAnsi="Calibri"/>
                <w:sz w:val="19"/>
              </w:rPr>
              <w:t>-10.8%</w:t>
            </w:r>
          </w:p>
        </w:tc>
        <w:tc>
          <w:tcPr>
            <w:tcW w:type="dxa" w:w="1512"/>
          </w:tcPr>
          <w:p>
            <w:pPr>
              <w:jc w:val="center"/>
            </w:pPr>
            <w:r>
              <w:rPr>
                <w:rFonts w:ascii="Calibri" w:hAnsi="Calibri"/>
                <w:sz w:val="19"/>
              </w:rPr>
              <w:t>Yes (sustained)</w:t>
            </w:r>
          </w:p>
        </w:tc>
      </w:tr>
      <w:tr>
        <w:tc>
          <w:tcPr>
            <w:tcW w:type="dxa" w:w="1512"/>
          </w:tcPr>
          <w:p>
            <w:pPr>
              <w:jc w:val="center"/>
            </w:pPr>
            <w:r>
              <w:rPr>
                <w:rFonts w:ascii="Calibri" w:hAnsi="Calibri"/>
                <w:sz w:val="19"/>
              </w:rPr>
              <w:t>Transactions per Customer</w:t>
            </w:r>
          </w:p>
        </w:tc>
        <w:tc>
          <w:tcPr>
            <w:tcW w:type="dxa" w:w="1512"/>
          </w:tcPr>
          <w:p>
            <w:pPr>
              <w:jc w:val="center"/>
            </w:pPr>
            <w:r>
              <w:rPr>
                <w:rFonts w:ascii="Calibri" w:hAnsi="Calibri"/>
                <w:sz w:val="19"/>
              </w:rPr>
              <w:t>-1.9%</w:t>
            </w:r>
          </w:p>
        </w:tc>
        <w:tc>
          <w:tcPr>
            <w:tcW w:type="dxa" w:w="1512"/>
          </w:tcPr>
          <w:p>
            <w:pPr>
              <w:jc w:val="center"/>
            </w:pPr>
            <w:r>
              <w:rPr>
                <w:rFonts w:ascii="Calibri" w:hAnsi="Calibri"/>
                <w:sz w:val="19"/>
              </w:rPr>
              <w:t>-0.1%</w:t>
            </w:r>
          </w:p>
        </w:tc>
        <w:tc>
          <w:tcPr>
            <w:tcW w:type="dxa" w:w="1512"/>
          </w:tcPr>
          <w:p>
            <w:pPr>
              <w:jc w:val="center"/>
            </w:pPr>
            <w:r>
              <w:rPr>
                <w:rFonts w:ascii="Calibri" w:hAnsi="Calibri"/>
                <w:sz w:val="19"/>
              </w:rPr>
              <w:t>-3.7%</w:t>
            </w:r>
          </w:p>
        </w:tc>
        <w:tc>
          <w:tcPr>
            <w:tcW w:type="dxa" w:w="1512"/>
          </w:tcPr>
          <w:p>
            <w:pPr>
              <w:jc w:val="center"/>
            </w:pPr>
            <w:r>
              <w:rPr>
                <w:rFonts w:ascii="Calibri" w:hAnsi="Calibri"/>
                <w:sz w:val="19"/>
              </w:rPr>
              <w:t>-5.2%</w:t>
            </w:r>
          </w:p>
        </w:tc>
        <w:tc>
          <w:tcPr>
            <w:tcW w:type="dxa" w:w="1512"/>
          </w:tcPr>
          <w:p>
            <w:pPr>
              <w:jc w:val="center"/>
            </w:pPr>
            <w:r>
              <w:rPr>
                <w:rFonts w:ascii="Calibri" w:hAnsi="Calibri"/>
                <w:sz w:val="19"/>
              </w:rPr>
              <w:t>Reverted</w:t>
            </w:r>
          </w:p>
        </w:tc>
      </w:tr>
    </w:tbl>
    <w:p/>
    <w:p>
      <w:pPr>
        <w:jc w:val="center"/>
      </w:pPr>
      <w:r>
        <w:drawing>
          <wp:inline xmlns:a="http://schemas.openxmlformats.org/drawingml/2006/main" xmlns:pic="http://schemas.openxmlformats.org/drawingml/2006/picture">
            <wp:extent cx="5029200" cy="2470443"/>
            <wp:docPr id="19" name="Picture 19"/>
            <wp:cNvGraphicFramePr>
              <a:graphicFrameLocks noChangeAspect="1"/>
            </wp:cNvGraphicFramePr>
            <a:graphic>
              <a:graphicData uri="http://schemas.openxmlformats.org/drawingml/2006/picture">
                <pic:pic>
                  <pic:nvPicPr>
                    <pic:cNvPr id="0" name="77_vs_17_totSales_assessment.png"/>
                    <pic:cNvPicPr/>
                  </pic:nvPicPr>
                  <pic:blipFill>
                    <a:blip r:embed="rId18"/>
                    <a:stretch>
                      <a:fillRect/>
                    </a:stretch>
                  </pic:blipFill>
                  <pic:spPr>
                    <a:xfrm>
                      <a:off x="0" y="0"/>
                      <a:ext cx="5029200" cy="2470443"/>
                    </a:xfrm>
                    <a:prstGeom prst="rect"/>
                  </pic:spPr>
                </pic:pic>
              </a:graphicData>
            </a:graphic>
          </wp:inline>
        </w:drawing>
      </w:r>
    </w:p>
    <w:p>
      <w:pPr>
        <w:jc w:val="center"/>
      </w:pPr>
      <w:r>
        <w:rPr>
          <w:i/>
          <w:color w:val="666666"/>
          <w:sz w:val="18"/>
        </w:rPr>
        <w:t>Figure: Total Sales ($) — Post-Trial Period Highlighted (Trial 77 vs Control 17)</w:t>
      </w:r>
    </w:p>
    <w:p>
      <w:pPr>
        <w:jc w:val="center"/>
      </w:pPr>
      <w:r>
        <w:drawing>
          <wp:inline xmlns:a="http://schemas.openxmlformats.org/drawingml/2006/main" xmlns:pic="http://schemas.openxmlformats.org/drawingml/2006/picture">
            <wp:extent cx="5029200" cy="2470443"/>
            <wp:docPr id="20" name="Picture 20"/>
            <wp:cNvGraphicFramePr>
              <a:graphicFrameLocks noChangeAspect="1"/>
            </wp:cNvGraphicFramePr>
            <a:graphic>
              <a:graphicData uri="http://schemas.openxmlformats.org/drawingml/2006/picture">
                <pic:pic>
                  <pic:nvPicPr>
                    <pic:cNvPr id="0" name="77_vs_17_nCustomers_assessment.png"/>
                    <pic:cNvPicPr/>
                  </pic:nvPicPr>
                  <pic:blipFill>
                    <a:blip r:embed="rId19"/>
                    <a:stretch>
                      <a:fillRect/>
                    </a:stretch>
                  </pic:blipFill>
                  <pic:spPr>
                    <a:xfrm>
                      <a:off x="0" y="0"/>
                      <a:ext cx="5029200" cy="2470443"/>
                    </a:xfrm>
                    <a:prstGeom prst="rect"/>
                  </pic:spPr>
                </pic:pic>
              </a:graphicData>
            </a:graphic>
          </wp:inline>
        </w:drawing>
      </w:r>
    </w:p>
    <w:p>
      <w:pPr>
        <w:jc w:val="center"/>
      </w:pPr>
      <w:r>
        <w:rPr>
          <w:i/>
          <w:color w:val="666666"/>
          <w:sz w:val="18"/>
        </w:rPr>
        <w:t>Figure: Number of Customers — Post-Trial Period Highlighted (Trial 77 vs Control 17)</w:t>
      </w:r>
    </w:p>
    <w:p>
      <w:pPr>
        <w:jc w:val="center"/>
      </w:pPr>
      <w:r>
        <w:drawing>
          <wp:inline xmlns:a="http://schemas.openxmlformats.org/drawingml/2006/main" xmlns:pic="http://schemas.openxmlformats.org/drawingml/2006/picture">
            <wp:extent cx="5029200" cy="2470443"/>
            <wp:docPr id="21" name="Picture 21"/>
            <wp:cNvGraphicFramePr>
              <a:graphicFrameLocks noChangeAspect="1"/>
            </wp:cNvGraphicFramePr>
            <a:graphic>
              <a:graphicData uri="http://schemas.openxmlformats.org/drawingml/2006/picture">
                <pic:pic>
                  <pic:nvPicPr>
                    <pic:cNvPr id="0" name="77_vs_17_nTxnPerCust_assessment.png"/>
                    <pic:cNvPicPr/>
                  </pic:nvPicPr>
                  <pic:blipFill>
                    <a:blip r:embed="rId20"/>
                    <a:stretch>
                      <a:fillRect/>
                    </a:stretch>
                  </pic:blipFill>
                  <pic:spPr>
                    <a:xfrm>
                      <a:off x="0" y="0"/>
                      <a:ext cx="5029200" cy="2470443"/>
                    </a:xfrm>
                    <a:prstGeom prst="rect"/>
                  </pic:spPr>
                </pic:pic>
              </a:graphicData>
            </a:graphic>
          </wp:inline>
        </w:drawing>
      </w:r>
    </w:p>
    <w:p>
      <w:pPr>
        <w:jc w:val="center"/>
      </w:pPr>
      <w:r>
        <w:rPr>
          <w:i/>
          <w:color w:val="666666"/>
          <w:sz w:val="18"/>
        </w:rPr>
        <w:t>Figure: Transactions per Customer — Post-Trial Period Highlighted (Trial 77 vs Control 17)</w:t>
      </w:r>
    </w:p>
    <w:p>
      <w:r>
        <w:br w:type="page"/>
      </w:r>
    </w:p>
    <w:p>
      <w:pPr>
        <w:pStyle w:val="Heading2"/>
      </w:pPr>
      <w:r>
        <w:rPr>
          <w:color w:val="1D3557"/>
        </w:rPr>
        <w:t>Store 86 — Post-Trial Summary</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D3557"/>
          </w:tcPr>
          <w:p>
            <w:pPr>
              <w:jc w:val="center"/>
            </w:pPr>
            <w:r>
              <w:rPr>
                <w:rFonts w:ascii="Calibri" w:hAnsi="Calibri"/>
                <w:b/>
                <w:color w:val="FFFFFF"/>
                <w:sz w:val="19"/>
              </w:rPr>
              <w:t>Metric</w:t>
            </w:r>
          </w:p>
        </w:tc>
        <w:tc>
          <w:tcPr>
            <w:tcW w:type="dxa" w:w="1512"/>
            <w:shd w:fill="1D3557"/>
          </w:tcPr>
          <w:p>
            <w:pPr>
              <w:jc w:val="center"/>
            </w:pPr>
            <w:r>
              <w:rPr>
                <w:rFonts w:ascii="Calibri" w:hAnsi="Calibri"/>
                <w:b/>
                <w:color w:val="FFFFFF"/>
                <w:sz w:val="19"/>
              </w:rPr>
              <w:t>Trial %Δ (During)</w:t>
            </w:r>
          </w:p>
        </w:tc>
        <w:tc>
          <w:tcPr>
            <w:tcW w:type="dxa" w:w="1512"/>
            <w:shd w:fill="1D3557"/>
          </w:tcPr>
          <w:p>
            <w:pPr>
              <w:jc w:val="center"/>
            </w:pPr>
            <w:r>
              <w:rPr>
                <w:rFonts w:ascii="Calibri" w:hAnsi="Calibri"/>
                <w:b/>
                <w:color w:val="FFFFFF"/>
                <w:sz w:val="19"/>
              </w:rPr>
              <w:t>Ctrl %Δ (During)</w:t>
            </w:r>
          </w:p>
        </w:tc>
        <w:tc>
          <w:tcPr>
            <w:tcW w:type="dxa" w:w="1512"/>
            <w:shd w:fill="1D3557"/>
          </w:tcPr>
          <w:p>
            <w:pPr>
              <w:jc w:val="center"/>
            </w:pPr>
            <w:r>
              <w:rPr>
                <w:rFonts w:ascii="Calibri" w:hAnsi="Calibri"/>
                <w:b/>
                <w:color w:val="FFFFFF"/>
                <w:sz w:val="19"/>
              </w:rPr>
              <w:t>Trial %Δ (Post)</w:t>
            </w:r>
          </w:p>
        </w:tc>
        <w:tc>
          <w:tcPr>
            <w:tcW w:type="dxa" w:w="1512"/>
            <w:shd w:fill="1D3557"/>
          </w:tcPr>
          <w:p>
            <w:pPr>
              <w:jc w:val="center"/>
            </w:pPr>
            <w:r>
              <w:rPr>
                <w:rFonts w:ascii="Calibri" w:hAnsi="Calibri"/>
                <w:b/>
                <w:color w:val="FFFFFF"/>
                <w:sz w:val="19"/>
              </w:rPr>
              <w:t>Ctrl %Δ (Post)</w:t>
            </w:r>
          </w:p>
        </w:tc>
        <w:tc>
          <w:tcPr>
            <w:tcW w:type="dxa" w:w="1512"/>
            <w:shd w:fill="1D3557"/>
          </w:tcPr>
          <w:p>
            <w:pPr>
              <w:jc w:val="center"/>
            </w:pPr>
            <w:r>
              <w:rPr>
                <w:rFonts w:ascii="Calibri" w:hAnsi="Calibri"/>
                <w:b/>
                <w:color w:val="FFFFFF"/>
                <w:sz w:val="19"/>
              </w:rPr>
              <w:t>Effect Persistent?</w:t>
            </w:r>
          </w:p>
        </w:tc>
      </w:tr>
      <w:tr>
        <w:tc>
          <w:tcPr>
            <w:tcW w:type="dxa" w:w="1512"/>
          </w:tcPr>
          <w:p>
            <w:pPr>
              <w:jc w:val="center"/>
            </w:pPr>
            <w:r>
              <w:rPr>
                <w:rFonts w:ascii="Calibri" w:hAnsi="Calibri"/>
                <w:sz w:val="19"/>
              </w:rPr>
              <w:t>Total Sales ($)</w:t>
            </w:r>
          </w:p>
        </w:tc>
        <w:tc>
          <w:tcPr>
            <w:tcW w:type="dxa" w:w="1512"/>
          </w:tcPr>
          <w:p>
            <w:pPr>
              <w:jc w:val="center"/>
            </w:pPr>
            <w:r>
              <w:rPr>
                <w:rFonts w:ascii="Calibri" w:hAnsi="Calibri"/>
                <w:sz w:val="19"/>
              </w:rPr>
              <w:t>+6.3%</w:t>
            </w:r>
          </w:p>
        </w:tc>
        <w:tc>
          <w:tcPr>
            <w:tcW w:type="dxa" w:w="1512"/>
          </w:tcPr>
          <w:p>
            <w:pPr>
              <w:jc w:val="center"/>
            </w:pPr>
            <w:r>
              <w:rPr>
                <w:rFonts w:ascii="Calibri" w:hAnsi="Calibri"/>
                <w:sz w:val="19"/>
              </w:rPr>
              <w:t>-6.9%</w:t>
            </w:r>
          </w:p>
        </w:tc>
        <w:tc>
          <w:tcPr>
            <w:tcW w:type="dxa" w:w="1512"/>
          </w:tcPr>
          <w:p>
            <w:pPr>
              <w:jc w:val="center"/>
            </w:pPr>
            <w:r>
              <w:rPr>
                <w:rFonts w:ascii="Calibri" w:hAnsi="Calibri"/>
                <w:sz w:val="19"/>
              </w:rPr>
              <w:t>-1.2%</w:t>
            </w:r>
          </w:p>
        </w:tc>
        <w:tc>
          <w:tcPr>
            <w:tcW w:type="dxa" w:w="1512"/>
          </w:tcPr>
          <w:p>
            <w:pPr>
              <w:jc w:val="center"/>
            </w:pPr>
            <w:r>
              <w:rPr>
                <w:rFonts w:ascii="Calibri" w:hAnsi="Calibri"/>
                <w:sz w:val="19"/>
              </w:rPr>
              <w:t>+9.5%</w:t>
            </w:r>
          </w:p>
        </w:tc>
        <w:tc>
          <w:tcPr>
            <w:tcW w:type="dxa" w:w="1512"/>
          </w:tcPr>
          <w:p>
            <w:pPr>
              <w:jc w:val="center"/>
            </w:pPr>
            <w:r>
              <w:rPr>
                <w:rFonts w:ascii="Calibri" w:hAnsi="Calibri"/>
                <w:sz w:val="19"/>
              </w:rPr>
              <w:t>Overcorrected</w:t>
            </w:r>
          </w:p>
        </w:tc>
      </w:tr>
      <w:tr>
        <w:tc>
          <w:tcPr>
            <w:tcW w:type="dxa" w:w="1512"/>
          </w:tcPr>
          <w:p>
            <w:pPr>
              <w:jc w:val="center"/>
            </w:pPr>
            <w:r>
              <w:rPr>
                <w:rFonts w:ascii="Calibri" w:hAnsi="Calibri"/>
                <w:sz w:val="19"/>
              </w:rPr>
              <w:t>Number of Customers</w:t>
            </w:r>
          </w:p>
        </w:tc>
        <w:tc>
          <w:tcPr>
            <w:tcW w:type="dxa" w:w="1512"/>
          </w:tcPr>
          <w:p>
            <w:pPr>
              <w:jc w:val="center"/>
            </w:pPr>
            <w:r>
              <w:rPr>
                <w:rFonts w:ascii="Calibri" w:hAnsi="Calibri"/>
                <w:sz w:val="19"/>
              </w:rPr>
              <w:t>+9.5%</w:t>
            </w:r>
          </w:p>
        </w:tc>
        <w:tc>
          <w:tcPr>
            <w:tcW w:type="dxa" w:w="1512"/>
          </w:tcPr>
          <w:p>
            <w:pPr>
              <w:jc w:val="center"/>
            </w:pPr>
            <w:r>
              <w:rPr>
                <w:rFonts w:ascii="Calibri" w:hAnsi="Calibri"/>
                <w:sz w:val="19"/>
              </w:rPr>
              <w:t>-1.9%</w:t>
            </w:r>
          </w:p>
        </w:tc>
        <w:tc>
          <w:tcPr>
            <w:tcW w:type="dxa" w:w="1512"/>
          </w:tcPr>
          <w:p>
            <w:pPr>
              <w:jc w:val="center"/>
            </w:pPr>
            <w:r>
              <w:rPr>
                <w:rFonts w:ascii="Calibri" w:hAnsi="Calibri"/>
                <w:sz w:val="19"/>
              </w:rPr>
              <w:t>+1.4%</w:t>
            </w:r>
          </w:p>
        </w:tc>
        <w:tc>
          <w:tcPr>
            <w:tcW w:type="dxa" w:w="1512"/>
          </w:tcPr>
          <w:p>
            <w:pPr>
              <w:jc w:val="center"/>
            </w:pPr>
            <w:r>
              <w:rPr>
                <w:rFonts w:ascii="Calibri" w:hAnsi="Calibri"/>
                <w:sz w:val="19"/>
              </w:rPr>
              <w:t>+7.2%</w:t>
            </w:r>
          </w:p>
        </w:tc>
        <w:tc>
          <w:tcPr>
            <w:tcW w:type="dxa" w:w="1512"/>
          </w:tcPr>
          <w:p>
            <w:pPr>
              <w:jc w:val="center"/>
            </w:pPr>
            <w:r>
              <w:rPr>
                <w:rFonts w:ascii="Calibri" w:hAnsi="Calibri"/>
                <w:sz w:val="19"/>
              </w:rPr>
              <w:t>Overcorrected</w:t>
            </w:r>
          </w:p>
        </w:tc>
      </w:tr>
      <w:tr>
        <w:tc>
          <w:tcPr>
            <w:tcW w:type="dxa" w:w="1512"/>
          </w:tcPr>
          <w:p>
            <w:pPr>
              <w:jc w:val="center"/>
            </w:pPr>
            <w:r>
              <w:rPr>
                <w:rFonts w:ascii="Calibri" w:hAnsi="Calibri"/>
                <w:sz w:val="19"/>
              </w:rPr>
              <w:t>Transactions per Customer</w:t>
            </w:r>
          </w:p>
        </w:tc>
        <w:tc>
          <w:tcPr>
            <w:tcW w:type="dxa" w:w="1512"/>
          </w:tcPr>
          <w:p>
            <w:pPr>
              <w:jc w:val="center"/>
            </w:pPr>
            <w:r>
              <w:rPr>
                <w:rFonts w:ascii="Calibri" w:hAnsi="Calibri"/>
                <w:sz w:val="19"/>
              </w:rPr>
              <w:t>-1.4%</w:t>
            </w:r>
          </w:p>
        </w:tc>
        <w:tc>
          <w:tcPr>
            <w:tcW w:type="dxa" w:w="1512"/>
          </w:tcPr>
          <w:p>
            <w:pPr>
              <w:jc w:val="center"/>
            </w:pPr>
            <w:r>
              <w:rPr>
                <w:rFonts w:ascii="Calibri" w:hAnsi="Calibri"/>
                <w:sz w:val="19"/>
              </w:rPr>
              <w:t>-1.9%</w:t>
            </w:r>
          </w:p>
        </w:tc>
        <w:tc>
          <w:tcPr>
            <w:tcW w:type="dxa" w:w="1512"/>
          </w:tcPr>
          <w:p>
            <w:pPr>
              <w:jc w:val="center"/>
            </w:pPr>
            <w:r>
              <w:rPr>
                <w:rFonts w:ascii="Calibri" w:hAnsi="Calibri"/>
                <w:sz w:val="19"/>
              </w:rPr>
              <w:t>-3.0%</w:t>
            </w:r>
          </w:p>
        </w:tc>
        <w:tc>
          <w:tcPr>
            <w:tcW w:type="dxa" w:w="1512"/>
          </w:tcPr>
          <w:p>
            <w:pPr>
              <w:jc w:val="center"/>
            </w:pPr>
            <w:r>
              <w:rPr>
                <w:rFonts w:ascii="Calibri" w:hAnsi="Calibri"/>
                <w:sz w:val="19"/>
              </w:rPr>
              <w:t>+2.0%</w:t>
            </w:r>
          </w:p>
        </w:tc>
        <w:tc>
          <w:tcPr>
            <w:tcW w:type="dxa" w:w="1512"/>
          </w:tcPr>
          <w:p>
            <w:pPr>
              <w:jc w:val="center"/>
            </w:pPr>
            <w:r>
              <w:rPr>
                <w:rFonts w:ascii="Calibri" w:hAnsi="Calibri"/>
                <w:sz w:val="19"/>
              </w:rPr>
              <w:t>Overcorrected</w:t>
            </w:r>
          </w:p>
        </w:tc>
      </w:tr>
    </w:tbl>
    <w:p/>
    <w:p>
      <w:pPr>
        <w:jc w:val="center"/>
      </w:pPr>
      <w:r>
        <w:drawing>
          <wp:inline xmlns:a="http://schemas.openxmlformats.org/drawingml/2006/main" xmlns:pic="http://schemas.openxmlformats.org/drawingml/2006/picture">
            <wp:extent cx="5029200" cy="2469302"/>
            <wp:docPr id="22" name="Picture 22"/>
            <wp:cNvGraphicFramePr>
              <a:graphicFrameLocks noChangeAspect="1"/>
            </wp:cNvGraphicFramePr>
            <a:graphic>
              <a:graphicData uri="http://schemas.openxmlformats.org/drawingml/2006/picture">
                <pic:pic>
                  <pic:nvPicPr>
                    <pic:cNvPr id="0" name="86_vs_138_totSales_assessment.png"/>
                    <pic:cNvPicPr/>
                  </pic:nvPicPr>
                  <pic:blipFill>
                    <a:blip r:embed="rId21"/>
                    <a:stretch>
                      <a:fillRect/>
                    </a:stretch>
                  </pic:blipFill>
                  <pic:spPr>
                    <a:xfrm>
                      <a:off x="0" y="0"/>
                      <a:ext cx="5029200" cy="2469302"/>
                    </a:xfrm>
                    <a:prstGeom prst="rect"/>
                  </pic:spPr>
                </pic:pic>
              </a:graphicData>
            </a:graphic>
          </wp:inline>
        </w:drawing>
      </w:r>
    </w:p>
    <w:p>
      <w:pPr>
        <w:jc w:val="center"/>
      </w:pPr>
      <w:r>
        <w:rPr>
          <w:i/>
          <w:color w:val="666666"/>
          <w:sz w:val="18"/>
        </w:rPr>
        <w:t>Figure: Total Sales ($) — Post-Trial Period Highlighted (Trial 86 vs Control 138)</w:t>
      </w:r>
    </w:p>
    <w:p>
      <w:pPr>
        <w:jc w:val="center"/>
      </w:pPr>
      <w:r>
        <w:drawing>
          <wp:inline xmlns:a="http://schemas.openxmlformats.org/drawingml/2006/main" xmlns:pic="http://schemas.openxmlformats.org/drawingml/2006/picture">
            <wp:extent cx="5029200" cy="2470443"/>
            <wp:docPr id="23" name="Picture 23"/>
            <wp:cNvGraphicFramePr>
              <a:graphicFrameLocks noChangeAspect="1"/>
            </wp:cNvGraphicFramePr>
            <a:graphic>
              <a:graphicData uri="http://schemas.openxmlformats.org/drawingml/2006/picture">
                <pic:pic>
                  <pic:nvPicPr>
                    <pic:cNvPr id="0" name="86_vs_138_nCustomers_assessment.png"/>
                    <pic:cNvPicPr/>
                  </pic:nvPicPr>
                  <pic:blipFill>
                    <a:blip r:embed="rId22"/>
                    <a:stretch>
                      <a:fillRect/>
                    </a:stretch>
                  </pic:blipFill>
                  <pic:spPr>
                    <a:xfrm>
                      <a:off x="0" y="0"/>
                      <a:ext cx="5029200" cy="2470443"/>
                    </a:xfrm>
                    <a:prstGeom prst="rect"/>
                  </pic:spPr>
                </pic:pic>
              </a:graphicData>
            </a:graphic>
          </wp:inline>
        </w:drawing>
      </w:r>
    </w:p>
    <w:p>
      <w:pPr>
        <w:jc w:val="center"/>
      </w:pPr>
      <w:r>
        <w:rPr>
          <w:i/>
          <w:color w:val="666666"/>
          <w:sz w:val="18"/>
        </w:rPr>
        <w:t>Figure: Number of Customers — Post-Trial Period Highlighted (Trial 86 vs Control 138)</w:t>
      </w:r>
    </w:p>
    <w:p>
      <w:pPr>
        <w:jc w:val="center"/>
      </w:pPr>
      <w:r>
        <w:drawing>
          <wp:inline xmlns:a="http://schemas.openxmlformats.org/drawingml/2006/main" xmlns:pic="http://schemas.openxmlformats.org/drawingml/2006/picture">
            <wp:extent cx="5029200" cy="2470443"/>
            <wp:docPr id="24" name="Picture 24"/>
            <wp:cNvGraphicFramePr>
              <a:graphicFrameLocks noChangeAspect="1"/>
            </wp:cNvGraphicFramePr>
            <a:graphic>
              <a:graphicData uri="http://schemas.openxmlformats.org/drawingml/2006/picture">
                <pic:pic>
                  <pic:nvPicPr>
                    <pic:cNvPr id="0" name="86_vs_138_nTxnPerCust_assessment.png"/>
                    <pic:cNvPicPr/>
                  </pic:nvPicPr>
                  <pic:blipFill>
                    <a:blip r:embed="rId23"/>
                    <a:stretch>
                      <a:fillRect/>
                    </a:stretch>
                  </pic:blipFill>
                  <pic:spPr>
                    <a:xfrm>
                      <a:off x="0" y="0"/>
                      <a:ext cx="5029200" cy="2470443"/>
                    </a:xfrm>
                    <a:prstGeom prst="rect"/>
                  </pic:spPr>
                </pic:pic>
              </a:graphicData>
            </a:graphic>
          </wp:inline>
        </w:drawing>
      </w:r>
    </w:p>
    <w:p>
      <w:pPr>
        <w:jc w:val="center"/>
      </w:pPr>
      <w:r>
        <w:rPr>
          <w:i/>
          <w:color w:val="666666"/>
          <w:sz w:val="18"/>
        </w:rPr>
        <w:t>Figure: Transactions per Customer — Post-Trial Period Highlighted (Trial 86 vs Control 138)</w:t>
      </w:r>
    </w:p>
    <w:p>
      <w:r>
        <w:br w:type="page"/>
      </w:r>
    </w:p>
    <w:p>
      <w:pPr>
        <w:pStyle w:val="Heading2"/>
      </w:pPr>
      <w:r>
        <w:rPr>
          <w:color w:val="1D3557"/>
        </w:rPr>
        <w:t>Store 88 — Post-Trial Summary</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D3557"/>
          </w:tcPr>
          <w:p>
            <w:pPr>
              <w:jc w:val="center"/>
            </w:pPr>
            <w:r>
              <w:rPr>
                <w:rFonts w:ascii="Calibri" w:hAnsi="Calibri"/>
                <w:b/>
                <w:color w:val="FFFFFF"/>
                <w:sz w:val="19"/>
              </w:rPr>
              <w:t>Metric</w:t>
            </w:r>
          </w:p>
        </w:tc>
        <w:tc>
          <w:tcPr>
            <w:tcW w:type="dxa" w:w="1512"/>
            <w:shd w:fill="1D3557"/>
          </w:tcPr>
          <w:p>
            <w:pPr>
              <w:jc w:val="center"/>
            </w:pPr>
            <w:r>
              <w:rPr>
                <w:rFonts w:ascii="Calibri" w:hAnsi="Calibri"/>
                <w:b/>
                <w:color w:val="FFFFFF"/>
                <w:sz w:val="19"/>
              </w:rPr>
              <w:t>Trial %Δ (During)</w:t>
            </w:r>
          </w:p>
        </w:tc>
        <w:tc>
          <w:tcPr>
            <w:tcW w:type="dxa" w:w="1512"/>
            <w:shd w:fill="1D3557"/>
          </w:tcPr>
          <w:p>
            <w:pPr>
              <w:jc w:val="center"/>
            </w:pPr>
            <w:r>
              <w:rPr>
                <w:rFonts w:ascii="Calibri" w:hAnsi="Calibri"/>
                <w:b/>
                <w:color w:val="FFFFFF"/>
                <w:sz w:val="19"/>
              </w:rPr>
              <w:t>Ctrl %Δ (During)</w:t>
            </w:r>
          </w:p>
        </w:tc>
        <w:tc>
          <w:tcPr>
            <w:tcW w:type="dxa" w:w="1512"/>
            <w:shd w:fill="1D3557"/>
          </w:tcPr>
          <w:p>
            <w:pPr>
              <w:jc w:val="center"/>
            </w:pPr>
            <w:r>
              <w:rPr>
                <w:rFonts w:ascii="Calibri" w:hAnsi="Calibri"/>
                <w:b/>
                <w:color w:val="FFFFFF"/>
                <w:sz w:val="19"/>
              </w:rPr>
              <w:t>Trial %Δ (Post)</w:t>
            </w:r>
          </w:p>
        </w:tc>
        <w:tc>
          <w:tcPr>
            <w:tcW w:type="dxa" w:w="1512"/>
            <w:shd w:fill="1D3557"/>
          </w:tcPr>
          <w:p>
            <w:pPr>
              <w:jc w:val="center"/>
            </w:pPr>
            <w:r>
              <w:rPr>
                <w:rFonts w:ascii="Calibri" w:hAnsi="Calibri"/>
                <w:b/>
                <w:color w:val="FFFFFF"/>
                <w:sz w:val="19"/>
              </w:rPr>
              <w:t>Ctrl %Δ (Post)</w:t>
            </w:r>
          </w:p>
        </w:tc>
        <w:tc>
          <w:tcPr>
            <w:tcW w:type="dxa" w:w="1512"/>
            <w:shd w:fill="1D3557"/>
          </w:tcPr>
          <w:p>
            <w:pPr>
              <w:jc w:val="center"/>
            </w:pPr>
            <w:r>
              <w:rPr>
                <w:rFonts w:ascii="Calibri" w:hAnsi="Calibri"/>
                <w:b/>
                <w:color w:val="FFFFFF"/>
                <w:sz w:val="19"/>
              </w:rPr>
              <w:t>Effect Persistent?</w:t>
            </w:r>
          </w:p>
        </w:tc>
      </w:tr>
      <w:tr>
        <w:tc>
          <w:tcPr>
            <w:tcW w:type="dxa" w:w="1512"/>
          </w:tcPr>
          <w:p>
            <w:pPr>
              <w:jc w:val="center"/>
            </w:pPr>
            <w:r>
              <w:rPr>
                <w:rFonts w:ascii="Calibri" w:hAnsi="Calibri"/>
                <w:sz w:val="19"/>
              </w:rPr>
              <w:t>Total Sales ($)</w:t>
            </w:r>
          </w:p>
        </w:tc>
        <w:tc>
          <w:tcPr>
            <w:tcW w:type="dxa" w:w="1512"/>
          </w:tcPr>
          <w:p>
            <w:pPr>
              <w:jc w:val="center"/>
            </w:pPr>
            <w:r>
              <w:rPr>
                <w:rFonts w:ascii="Calibri" w:hAnsi="Calibri"/>
                <w:sz w:val="19"/>
              </w:rPr>
              <w:t>+6.6%</w:t>
            </w:r>
          </w:p>
        </w:tc>
        <w:tc>
          <w:tcPr>
            <w:tcW w:type="dxa" w:w="1512"/>
          </w:tcPr>
          <w:p>
            <w:pPr>
              <w:jc w:val="center"/>
            </w:pPr>
            <w:r>
              <w:rPr>
                <w:rFonts w:ascii="Calibri" w:hAnsi="Calibri"/>
                <w:sz w:val="19"/>
              </w:rPr>
              <w:t>+6.8%</w:t>
            </w:r>
          </w:p>
        </w:tc>
        <w:tc>
          <w:tcPr>
            <w:tcW w:type="dxa" w:w="1512"/>
          </w:tcPr>
          <w:p>
            <w:pPr>
              <w:jc w:val="center"/>
            </w:pPr>
            <w:r>
              <w:rPr>
                <w:rFonts w:ascii="Calibri" w:hAnsi="Calibri"/>
                <w:sz w:val="19"/>
              </w:rPr>
              <w:t>-0.7%</w:t>
            </w:r>
          </w:p>
        </w:tc>
        <w:tc>
          <w:tcPr>
            <w:tcW w:type="dxa" w:w="1512"/>
          </w:tcPr>
          <w:p>
            <w:pPr>
              <w:jc w:val="center"/>
            </w:pPr>
            <w:r>
              <w:rPr>
                <w:rFonts w:ascii="Calibri" w:hAnsi="Calibri"/>
                <w:sz w:val="19"/>
              </w:rPr>
              <w:t>+0.5%</w:t>
            </w:r>
          </w:p>
        </w:tc>
        <w:tc>
          <w:tcPr>
            <w:tcW w:type="dxa" w:w="1512"/>
          </w:tcPr>
          <w:p>
            <w:pPr>
              <w:jc w:val="center"/>
            </w:pPr>
            <w:r>
              <w:rPr>
                <w:rFonts w:ascii="Calibri" w:hAnsi="Calibri"/>
                <w:sz w:val="19"/>
              </w:rPr>
              <w:t>Reverted</w:t>
            </w:r>
          </w:p>
        </w:tc>
      </w:tr>
      <w:tr>
        <w:tc>
          <w:tcPr>
            <w:tcW w:type="dxa" w:w="1512"/>
          </w:tcPr>
          <w:p>
            <w:pPr>
              <w:jc w:val="center"/>
            </w:pPr>
            <w:r>
              <w:rPr>
                <w:rFonts w:ascii="Calibri" w:hAnsi="Calibri"/>
                <w:sz w:val="19"/>
              </w:rPr>
              <w:t>Number of Customers</w:t>
            </w:r>
          </w:p>
        </w:tc>
        <w:tc>
          <w:tcPr>
            <w:tcW w:type="dxa" w:w="1512"/>
          </w:tcPr>
          <w:p>
            <w:pPr>
              <w:jc w:val="center"/>
            </w:pPr>
            <w:r>
              <w:rPr>
                <w:rFonts w:ascii="Calibri" w:hAnsi="Calibri"/>
                <w:sz w:val="19"/>
              </w:rPr>
              <w:t>+2.3%</w:t>
            </w:r>
          </w:p>
        </w:tc>
        <w:tc>
          <w:tcPr>
            <w:tcW w:type="dxa" w:w="1512"/>
          </w:tcPr>
          <w:p>
            <w:pPr>
              <w:jc w:val="center"/>
            </w:pPr>
            <w:r>
              <w:rPr>
                <w:rFonts w:ascii="Calibri" w:hAnsi="Calibri"/>
                <w:sz w:val="19"/>
              </w:rPr>
              <w:t>+4.4%</w:t>
            </w:r>
          </w:p>
        </w:tc>
        <w:tc>
          <w:tcPr>
            <w:tcW w:type="dxa" w:w="1512"/>
          </w:tcPr>
          <w:p>
            <w:pPr>
              <w:jc w:val="center"/>
            </w:pPr>
            <w:r>
              <w:rPr>
                <w:rFonts w:ascii="Calibri" w:hAnsi="Calibri"/>
                <w:sz w:val="19"/>
              </w:rPr>
              <w:t>-1.0%</w:t>
            </w:r>
          </w:p>
        </w:tc>
        <w:tc>
          <w:tcPr>
            <w:tcW w:type="dxa" w:w="1512"/>
          </w:tcPr>
          <w:p>
            <w:pPr>
              <w:jc w:val="center"/>
            </w:pPr>
            <w:r>
              <w:rPr>
                <w:rFonts w:ascii="Calibri" w:hAnsi="Calibri"/>
                <w:sz w:val="19"/>
              </w:rPr>
              <w:t>+4.0%</w:t>
            </w:r>
          </w:p>
        </w:tc>
        <w:tc>
          <w:tcPr>
            <w:tcW w:type="dxa" w:w="1512"/>
          </w:tcPr>
          <w:p>
            <w:pPr>
              <w:jc w:val="center"/>
            </w:pPr>
            <w:r>
              <w:rPr>
                <w:rFonts w:ascii="Calibri" w:hAnsi="Calibri"/>
                <w:sz w:val="19"/>
              </w:rPr>
              <w:t>Overcorrected</w:t>
            </w:r>
          </w:p>
        </w:tc>
      </w:tr>
      <w:tr>
        <w:tc>
          <w:tcPr>
            <w:tcW w:type="dxa" w:w="1512"/>
          </w:tcPr>
          <w:p>
            <w:pPr>
              <w:jc w:val="center"/>
            </w:pPr>
            <w:r>
              <w:rPr>
                <w:rFonts w:ascii="Calibri" w:hAnsi="Calibri"/>
                <w:sz w:val="19"/>
              </w:rPr>
              <w:t>Transactions per Customer</w:t>
            </w:r>
          </w:p>
        </w:tc>
        <w:tc>
          <w:tcPr>
            <w:tcW w:type="dxa" w:w="1512"/>
          </w:tcPr>
          <w:p>
            <w:pPr>
              <w:jc w:val="center"/>
            </w:pPr>
            <w:r>
              <w:rPr>
                <w:rFonts w:ascii="Calibri" w:hAnsi="Calibri"/>
                <w:sz w:val="19"/>
              </w:rPr>
              <w:t>+2.3%</w:t>
            </w:r>
          </w:p>
        </w:tc>
        <w:tc>
          <w:tcPr>
            <w:tcW w:type="dxa" w:w="1512"/>
          </w:tcPr>
          <w:p>
            <w:pPr>
              <w:jc w:val="center"/>
            </w:pPr>
            <w:r>
              <w:rPr>
                <w:rFonts w:ascii="Calibri" w:hAnsi="Calibri"/>
                <w:sz w:val="19"/>
              </w:rPr>
              <w:t>+0.6%</w:t>
            </w:r>
          </w:p>
        </w:tc>
        <w:tc>
          <w:tcPr>
            <w:tcW w:type="dxa" w:w="1512"/>
          </w:tcPr>
          <w:p>
            <w:pPr>
              <w:jc w:val="center"/>
            </w:pPr>
            <w:r>
              <w:rPr>
                <w:rFonts w:ascii="Calibri" w:hAnsi="Calibri"/>
                <w:sz w:val="19"/>
              </w:rPr>
              <w:t>-0.4%</w:t>
            </w:r>
          </w:p>
        </w:tc>
        <w:tc>
          <w:tcPr>
            <w:tcW w:type="dxa" w:w="1512"/>
          </w:tcPr>
          <w:p>
            <w:pPr>
              <w:jc w:val="center"/>
            </w:pPr>
            <w:r>
              <w:rPr>
                <w:rFonts w:ascii="Calibri" w:hAnsi="Calibri"/>
                <w:sz w:val="19"/>
              </w:rPr>
              <w:t>+1.0%</w:t>
            </w:r>
          </w:p>
        </w:tc>
        <w:tc>
          <w:tcPr>
            <w:tcW w:type="dxa" w:w="1512"/>
          </w:tcPr>
          <w:p>
            <w:pPr>
              <w:jc w:val="center"/>
            </w:pPr>
            <w:r>
              <w:rPr>
                <w:rFonts w:ascii="Calibri" w:hAnsi="Calibri"/>
                <w:sz w:val="19"/>
              </w:rPr>
              <w:t>Reverted</w:t>
            </w:r>
          </w:p>
        </w:tc>
      </w:tr>
    </w:tbl>
    <w:p/>
    <w:p>
      <w:pPr>
        <w:jc w:val="center"/>
      </w:pPr>
      <w:r>
        <w:drawing>
          <wp:inline xmlns:a="http://schemas.openxmlformats.org/drawingml/2006/main" xmlns:pic="http://schemas.openxmlformats.org/drawingml/2006/picture">
            <wp:extent cx="5029200" cy="2469302"/>
            <wp:docPr id="25" name="Picture 25"/>
            <wp:cNvGraphicFramePr>
              <a:graphicFrameLocks noChangeAspect="1"/>
            </wp:cNvGraphicFramePr>
            <a:graphic>
              <a:graphicData uri="http://schemas.openxmlformats.org/drawingml/2006/picture">
                <pic:pic>
                  <pic:nvPicPr>
                    <pic:cNvPr id="0" name="88_vs_201_totSales_assessment.png"/>
                    <pic:cNvPicPr/>
                  </pic:nvPicPr>
                  <pic:blipFill>
                    <a:blip r:embed="rId24"/>
                    <a:stretch>
                      <a:fillRect/>
                    </a:stretch>
                  </pic:blipFill>
                  <pic:spPr>
                    <a:xfrm>
                      <a:off x="0" y="0"/>
                      <a:ext cx="5029200" cy="2469302"/>
                    </a:xfrm>
                    <a:prstGeom prst="rect"/>
                  </pic:spPr>
                </pic:pic>
              </a:graphicData>
            </a:graphic>
          </wp:inline>
        </w:drawing>
      </w:r>
    </w:p>
    <w:p>
      <w:pPr>
        <w:jc w:val="center"/>
      </w:pPr>
      <w:r>
        <w:rPr>
          <w:i/>
          <w:color w:val="666666"/>
          <w:sz w:val="18"/>
        </w:rPr>
        <w:t>Figure: Total Sales ($) — Post-Trial Period Highlighted (Trial 88 vs Control 201)</w:t>
      </w:r>
    </w:p>
    <w:p>
      <w:pPr>
        <w:jc w:val="center"/>
      </w:pPr>
      <w:r>
        <w:drawing>
          <wp:inline xmlns:a="http://schemas.openxmlformats.org/drawingml/2006/main" xmlns:pic="http://schemas.openxmlformats.org/drawingml/2006/picture">
            <wp:extent cx="5029200" cy="2470443"/>
            <wp:docPr id="26" name="Picture 26"/>
            <wp:cNvGraphicFramePr>
              <a:graphicFrameLocks noChangeAspect="1"/>
            </wp:cNvGraphicFramePr>
            <a:graphic>
              <a:graphicData uri="http://schemas.openxmlformats.org/drawingml/2006/picture">
                <pic:pic>
                  <pic:nvPicPr>
                    <pic:cNvPr id="0" name="88_vs_201_nCustomers_assessment.png"/>
                    <pic:cNvPicPr/>
                  </pic:nvPicPr>
                  <pic:blipFill>
                    <a:blip r:embed="rId25"/>
                    <a:stretch>
                      <a:fillRect/>
                    </a:stretch>
                  </pic:blipFill>
                  <pic:spPr>
                    <a:xfrm>
                      <a:off x="0" y="0"/>
                      <a:ext cx="5029200" cy="2470443"/>
                    </a:xfrm>
                    <a:prstGeom prst="rect"/>
                  </pic:spPr>
                </pic:pic>
              </a:graphicData>
            </a:graphic>
          </wp:inline>
        </w:drawing>
      </w:r>
    </w:p>
    <w:p>
      <w:pPr>
        <w:jc w:val="center"/>
      </w:pPr>
      <w:r>
        <w:rPr>
          <w:i/>
          <w:color w:val="666666"/>
          <w:sz w:val="18"/>
        </w:rPr>
        <w:t>Figure: Number of Customers — Post-Trial Period Highlighted (Trial 88 vs Control 201)</w:t>
      </w:r>
    </w:p>
    <w:p>
      <w:pPr>
        <w:jc w:val="center"/>
      </w:pPr>
      <w:r>
        <w:drawing>
          <wp:inline xmlns:a="http://schemas.openxmlformats.org/drawingml/2006/main" xmlns:pic="http://schemas.openxmlformats.org/drawingml/2006/picture">
            <wp:extent cx="5029200" cy="2470443"/>
            <wp:docPr id="27" name="Picture 27"/>
            <wp:cNvGraphicFramePr>
              <a:graphicFrameLocks noChangeAspect="1"/>
            </wp:cNvGraphicFramePr>
            <a:graphic>
              <a:graphicData uri="http://schemas.openxmlformats.org/drawingml/2006/picture">
                <pic:pic>
                  <pic:nvPicPr>
                    <pic:cNvPr id="0" name="88_vs_201_nTxnPerCust_assessment.png"/>
                    <pic:cNvPicPr/>
                  </pic:nvPicPr>
                  <pic:blipFill>
                    <a:blip r:embed="rId26"/>
                    <a:stretch>
                      <a:fillRect/>
                    </a:stretch>
                  </pic:blipFill>
                  <pic:spPr>
                    <a:xfrm>
                      <a:off x="0" y="0"/>
                      <a:ext cx="5029200" cy="2470443"/>
                    </a:xfrm>
                    <a:prstGeom prst="rect"/>
                  </pic:spPr>
                </pic:pic>
              </a:graphicData>
            </a:graphic>
          </wp:inline>
        </w:drawing>
      </w:r>
    </w:p>
    <w:p>
      <w:pPr>
        <w:jc w:val="center"/>
      </w:pPr>
      <w:r>
        <w:rPr>
          <w:i/>
          <w:color w:val="666666"/>
          <w:sz w:val="18"/>
        </w:rPr>
        <w:t>Figure: Transactions per Customer — Post-Trial Period Highlighted (Trial 88 vs Control 201)</w:t>
      </w:r>
    </w:p>
    <w:p>
      <w:r>
        <w:br w:type="page"/>
      </w:r>
    </w:p>
    <w:p>
      <w:pPr>
        <w:pStyle w:val="Heading1"/>
      </w:pPr>
      <w:r>
        <w:rPr>
          <w:color w:val="1D3557"/>
        </w:rPr>
        <w:t>7. Summary &amp; Conclusion</w:t>
      </w:r>
    </w:p>
    <w:p>
      <w:pPr>
        <w:pStyle w:val="Heading2"/>
      </w:pPr>
      <w:r>
        <w:rPr>
          <w:color w:val="1D3557"/>
        </w:rPr>
        <w:t>Key Findings</w:t>
      </w:r>
    </w:p>
    <w:p>
      <w:r>
        <w:t>The following table consolidates all findings across the three trial stores: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D3557"/>
          </w:tcPr>
          <w:p>
            <w:pPr>
              <w:jc w:val="center"/>
            </w:pPr>
            <w:r>
              <w:rPr>
                <w:rFonts w:ascii="Calibri" w:hAnsi="Calibri"/>
                <w:b/>
                <w:color w:val="FFFFFF"/>
                <w:sz w:val="19"/>
              </w:rPr>
              <w:t>Trial/Ctrl</w:t>
            </w:r>
          </w:p>
        </w:tc>
        <w:tc>
          <w:tcPr>
            <w:tcW w:type="dxa" w:w="1296"/>
            <w:shd w:fill="1D3557"/>
          </w:tcPr>
          <w:p>
            <w:pPr>
              <w:jc w:val="center"/>
            </w:pPr>
            <w:r>
              <w:rPr>
                <w:rFonts w:ascii="Calibri" w:hAnsi="Calibri"/>
                <w:b/>
                <w:color w:val="FFFFFF"/>
                <w:sz w:val="19"/>
              </w:rPr>
              <w:t>Metric</w:t>
            </w:r>
          </w:p>
        </w:tc>
        <w:tc>
          <w:tcPr>
            <w:tcW w:type="dxa" w:w="1296"/>
            <w:shd w:fill="1D3557"/>
          </w:tcPr>
          <w:p>
            <w:pPr>
              <w:jc w:val="center"/>
            </w:pPr>
            <w:r>
              <w:rPr>
                <w:rFonts w:ascii="Calibri" w:hAnsi="Calibri"/>
                <w:b/>
                <w:color w:val="FFFFFF"/>
                <w:sz w:val="19"/>
              </w:rPr>
              <w:t>Scaling</w:t>
            </w:r>
          </w:p>
        </w:tc>
        <w:tc>
          <w:tcPr>
            <w:tcW w:type="dxa" w:w="1296"/>
            <w:shd w:fill="1D3557"/>
          </w:tcPr>
          <w:p>
            <w:pPr>
              <w:jc w:val="center"/>
            </w:pPr>
            <w:r>
              <w:rPr>
                <w:rFonts w:ascii="Calibri" w:hAnsi="Calibri"/>
                <w:b/>
                <w:color w:val="FFFFFF"/>
                <w:sz w:val="19"/>
              </w:rPr>
              <w:t>Trial %Δ</w:t>
            </w:r>
          </w:p>
        </w:tc>
        <w:tc>
          <w:tcPr>
            <w:tcW w:type="dxa" w:w="1296"/>
            <w:shd w:fill="1D3557"/>
          </w:tcPr>
          <w:p>
            <w:pPr>
              <w:jc w:val="center"/>
            </w:pPr>
            <w:r>
              <w:rPr>
                <w:rFonts w:ascii="Calibri" w:hAnsi="Calibri"/>
                <w:b/>
                <w:color w:val="FFFFFF"/>
                <w:sz w:val="19"/>
              </w:rPr>
              <w:t>Ctrl %Δ</w:t>
            </w:r>
          </w:p>
        </w:tc>
        <w:tc>
          <w:tcPr>
            <w:tcW w:type="dxa" w:w="1296"/>
            <w:shd w:fill="1D3557"/>
          </w:tcPr>
          <w:p>
            <w:pPr>
              <w:jc w:val="center"/>
            </w:pPr>
            <w:r>
              <w:rPr>
                <w:rFonts w:ascii="Calibri" w:hAnsi="Calibri"/>
                <w:b/>
                <w:color w:val="FFFFFF"/>
                <w:sz w:val="19"/>
              </w:rPr>
              <w:t>DiD (Trial)</w:t>
            </w:r>
          </w:p>
        </w:tc>
        <w:tc>
          <w:tcPr>
            <w:tcW w:type="dxa" w:w="1296"/>
            <w:shd w:fill="1D3557"/>
          </w:tcPr>
          <w:p>
            <w:pPr>
              <w:jc w:val="center"/>
            </w:pPr>
            <w:r>
              <w:rPr>
                <w:rFonts w:ascii="Calibri" w:hAnsi="Calibri"/>
                <w:b/>
                <w:color w:val="FFFFFF"/>
                <w:sz w:val="19"/>
              </w:rPr>
              <w:t>DiD (Post)</w:t>
            </w:r>
          </w:p>
        </w:tc>
      </w:tr>
      <w:tr>
        <w:tc>
          <w:tcPr>
            <w:tcW w:type="dxa" w:w="1296"/>
          </w:tcPr>
          <w:p>
            <w:pPr>
              <w:jc w:val="center"/>
            </w:pPr>
            <w:r>
              <w:rPr>
                <w:rFonts w:ascii="Calibri" w:hAnsi="Calibri"/>
                <w:sz w:val="19"/>
              </w:rPr>
              <w:t>77 / 17</w:t>
            </w:r>
          </w:p>
        </w:tc>
        <w:tc>
          <w:tcPr>
            <w:tcW w:type="dxa" w:w="1296"/>
          </w:tcPr>
          <w:p>
            <w:pPr>
              <w:jc w:val="center"/>
            </w:pPr>
            <w:r>
              <w:rPr>
                <w:rFonts w:ascii="Calibri" w:hAnsi="Calibri"/>
                <w:sz w:val="19"/>
              </w:rPr>
              <w:t>Total Sales</w:t>
            </w:r>
          </w:p>
        </w:tc>
        <w:tc>
          <w:tcPr>
            <w:tcW w:type="dxa" w:w="1296"/>
          </w:tcPr>
          <w:p>
            <w:pPr>
              <w:jc w:val="center"/>
            </w:pPr>
            <w:r>
              <w:rPr>
                <w:rFonts w:ascii="Calibri" w:hAnsi="Calibri"/>
                <w:sz w:val="19"/>
              </w:rPr>
              <w:t>0.609</w:t>
            </w:r>
          </w:p>
        </w:tc>
        <w:tc>
          <w:tcPr>
            <w:tcW w:type="dxa" w:w="1296"/>
          </w:tcPr>
          <w:p>
            <w:pPr>
              <w:jc w:val="center"/>
            </w:pPr>
            <w:r>
              <w:rPr>
                <w:rFonts w:ascii="Calibri" w:hAnsi="Calibri"/>
                <w:sz w:val="19"/>
              </w:rPr>
              <w:t>+6.7%</w:t>
            </w:r>
          </w:p>
        </w:tc>
        <w:tc>
          <w:tcPr>
            <w:tcW w:type="dxa" w:w="1296"/>
          </w:tcPr>
          <w:p>
            <w:pPr>
              <w:jc w:val="center"/>
            </w:pPr>
            <w:r>
              <w:rPr>
                <w:rFonts w:ascii="Calibri" w:hAnsi="Calibri"/>
                <w:sz w:val="19"/>
              </w:rPr>
              <w:t>+2.7%</w:t>
            </w:r>
          </w:p>
        </w:tc>
        <w:tc>
          <w:tcPr>
            <w:tcW w:type="dxa" w:w="1296"/>
          </w:tcPr>
          <w:p>
            <w:pPr>
              <w:jc w:val="center"/>
            </w:pPr>
            <w:r>
              <w:rPr>
                <w:rFonts w:ascii="Calibri" w:hAnsi="Calibri"/>
                <w:sz w:val="19"/>
              </w:rPr>
              <w:t>+4.1pp</w:t>
            </w:r>
          </w:p>
        </w:tc>
        <w:tc>
          <w:tcPr>
            <w:tcW w:type="dxa" w:w="1296"/>
          </w:tcPr>
          <w:p>
            <w:pPr>
              <w:jc w:val="center"/>
            </w:pPr>
            <w:r>
              <w:rPr>
                <w:rFonts w:ascii="Calibri" w:hAnsi="Calibri"/>
                <w:sz w:val="19"/>
              </w:rPr>
              <w:t>+38.2pp</w:t>
            </w:r>
          </w:p>
        </w:tc>
      </w:tr>
      <w:tr>
        <w:tc>
          <w:tcPr>
            <w:tcW w:type="dxa" w:w="1296"/>
          </w:tcPr>
          <w:p>
            <w:pPr>
              <w:jc w:val="center"/>
            </w:pPr>
            <w:r>
              <w:rPr>
                <w:rFonts w:ascii="Calibri" w:hAnsi="Calibri"/>
                <w:sz w:val="19"/>
              </w:rPr>
              <w:t>77 / 17</w:t>
            </w:r>
          </w:p>
        </w:tc>
        <w:tc>
          <w:tcPr>
            <w:tcW w:type="dxa" w:w="1296"/>
          </w:tcPr>
          <w:p>
            <w:pPr>
              <w:jc w:val="center"/>
            </w:pPr>
            <w:r>
              <w:rPr>
                <w:rFonts w:ascii="Calibri" w:hAnsi="Calibri"/>
                <w:sz w:val="19"/>
              </w:rPr>
              <w:t>Number of Customers</w:t>
            </w:r>
          </w:p>
        </w:tc>
        <w:tc>
          <w:tcPr>
            <w:tcW w:type="dxa" w:w="1296"/>
          </w:tcPr>
          <w:p>
            <w:pPr>
              <w:jc w:val="center"/>
            </w:pPr>
            <w:r>
              <w:rPr>
                <w:rFonts w:ascii="Calibri" w:hAnsi="Calibri"/>
                <w:sz w:val="19"/>
              </w:rPr>
              <w:t>0.977</w:t>
            </w:r>
          </w:p>
        </w:tc>
        <w:tc>
          <w:tcPr>
            <w:tcW w:type="dxa" w:w="1296"/>
          </w:tcPr>
          <w:p>
            <w:pPr>
              <w:jc w:val="center"/>
            </w:pPr>
            <w:r>
              <w:rPr>
                <w:rFonts w:ascii="Calibri" w:hAnsi="Calibri"/>
                <w:sz w:val="19"/>
              </w:rPr>
              <w:t>+10.8%</w:t>
            </w:r>
          </w:p>
        </w:tc>
        <w:tc>
          <w:tcPr>
            <w:tcW w:type="dxa" w:w="1296"/>
          </w:tcPr>
          <w:p>
            <w:pPr>
              <w:jc w:val="center"/>
            </w:pPr>
            <w:r>
              <w:rPr>
                <w:rFonts w:ascii="Calibri" w:hAnsi="Calibri"/>
                <w:sz w:val="19"/>
              </w:rPr>
              <w:t>+6.0%</w:t>
            </w:r>
          </w:p>
        </w:tc>
        <w:tc>
          <w:tcPr>
            <w:tcW w:type="dxa" w:w="1296"/>
          </w:tcPr>
          <w:p>
            <w:pPr>
              <w:jc w:val="center"/>
            </w:pPr>
            <w:r>
              <w:rPr>
                <w:rFonts w:ascii="Calibri" w:hAnsi="Calibri"/>
                <w:sz w:val="19"/>
              </w:rPr>
              <w:t>+4.8pp</w:t>
            </w:r>
          </w:p>
        </w:tc>
        <w:tc>
          <w:tcPr>
            <w:tcW w:type="dxa" w:w="1296"/>
          </w:tcPr>
          <w:p>
            <w:pPr>
              <w:jc w:val="center"/>
            </w:pPr>
            <w:r>
              <w:rPr>
                <w:rFonts w:ascii="Calibri" w:hAnsi="Calibri"/>
                <w:sz w:val="19"/>
              </w:rPr>
              <w:t>+23.2pp</w:t>
            </w:r>
          </w:p>
        </w:tc>
      </w:tr>
      <w:tr>
        <w:tc>
          <w:tcPr>
            <w:tcW w:type="dxa" w:w="1296"/>
          </w:tcPr>
          <w:p>
            <w:pPr>
              <w:jc w:val="center"/>
            </w:pPr>
            <w:r>
              <w:rPr>
                <w:rFonts w:ascii="Calibri" w:hAnsi="Calibri"/>
                <w:sz w:val="19"/>
              </w:rPr>
              <w:t>77 / 17</w:t>
            </w:r>
          </w:p>
        </w:tc>
        <w:tc>
          <w:tcPr>
            <w:tcW w:type="dxa" w:w="1296"/>
          </w:tcPr>
          <w:p>
            <w:pPr>
              <w:jc w:val="center"/>
            </w:pPr>
            <w:r>
              <w:rPr>
                <w:rFonts w:ascii="Calibri" w:hAnsi="Calibri"/>
                <w:sz w:val="19"/>
              </w:rPr>
              <w:t>Transactions per Customer</w:t>
            </w:r>
          </w:p>
        </w:tc>
        <w:tc>
          <w:tcPr>
            <w:tcW w:type="dxa" w:w="1296"/>
          </w:tcPr>
          <w:p>
            <w:pPr>
              <w:jc w:val="center"/>
            </w:pPr>
            <w:r>
              <w:rPr>
                <w:rFonts w:ascii="Calibri" w:hAnsi="Calibri"/>
                <w:sz w:val="19"/>
              </w:rPr>
              <w:t>0.994</w:t>
            </w:r>
          </w:p>
        </w:tc>
        <w:tc>
          <w:tcPr>
            <w:tcW w:type="dxa" w:w="1296"/>
          </w:tcPr>
          <w:p>
            <w:pPr>
              <w:jc w:val="center"/>
            </w:pPr>
            <w:r>
              <w:rPr>
                <w:rFonts w:ascii="Calibri" w:hAnsi="Calibri"/>
                <w:sz w:val="19"/>
              </w:rPr>
              <w:t>-1.9%</w:t>
            </w:r>
          </w:p>
        </w:tc>
        <w:tc>
          <w:tcPr>
            <w:tcW w:type="dxa" w:w="1296"/>
          </w:tcPr>
          <w:p>
            <w:pPr>
              <w:jc w:val="center"/>
            </w:pPr>
            <w:r>
              <w:rPr>
                <w:rFonts w:ascii="Calibri" w:hAnsi="Calibri"/>
                <w:sz w:val="19"/>
              </w:rPr>
              <w:t>-0.1%</w:t>
            </w:r>
          </w:p>
        </w:tc>
        <w:tc>
          <w:tcPr>
            <w:tcW w:type="dxa" w:w="1296"/>
          </w:tcPr>
          <w:p>
            <w:pPr>
              <w:jc w:val="center"/>
            </w:pPr>
            <w:r>
              <w:rPr>
                <w:rFonts w:ascii="Calibri" w:hAnsi="Calibri"/>
                <w:sz w:val="19"/>
              </w:rPr>
              <w:t>-1.8pp</w:t>
            </w:r>
          </w:p>
        </w:tc>
        <w:tc>
          <w:tcPr>
            <w:tcW w:type="dxa" w:w="1296"/>
          </w:tcPr>
          <w:p>
            <w:pPr>
              <w:jc w:val="center"/>
            </w:pPr>
            <w:r>
              <w:rPr>
                <w:rFonts w:ascii="Calibri" w:hAnsi="Calibri"/>
                <w:sz w:val="19"/>
              </w:rPr>
              <w:t>+1.4pp</w:t>
            </w:r>
          </w:p>
        </w:tc>
      </w:tr>
      <w:tr>
        <w:tc>
          <w:tcPr>
            <w:tcW w:type="dxa" w:w="1296"/>
          </w:tcPr>
          <w:p>
            <w:pPr>
              <w:jc w:val="center"/>
            </w:pPr>
            <w:r>
              <w:rPr>
                <w:rFonts w:ascii="Calibri" w:hAnsi="Calibri"/>
                <w:sz w:val="19"/>
              </w:rPr>
              <w:t>86 / 138</w:t>
            </w:r>
          </w:p>
        </w:tc>
        <w:tc>
          <w:tcPr>
            <w:tcW w:type="dxa" w:w="1296"/>
          </w:tcPr>
          <w:p>
            <w:pPr>
              <w:jc w:val="center"/>
            </w:pPr>
            <w:r>
              <w:rPr>
                <w:rFonts w:ascii="Calibri" w:hAnsi="Calibri"/>
                <w:sz w:val="19"/>
              </w:rPr>
              <w:t>Total Sales</w:t>
            </w:r>
          </w:p>
        </w:tc>
        <w:tc>
          <w:tcPr>
            <w:tcW w:type="dxa" w:w="1296"/>
          </w:tcPr>
          <w:p>
            <w:pPr>
              <w:jc w:val="center"/>
            </w:pPr>
            <w:r>
              <w:rPr>
                <w:rFonts w:ascii="Calibri" w:hAnsi="Calibri"/>
                <w:sz w:val="19"/>
              </w:rPr>
              <w:t>0.968</w:t>
            </w:r>
          </w:p>
        </w:tc>
        <w:tc>
          <w:tcPr>
            <w:tcW w:type="dxa" w:w="1296"/>
          </w:tcPr>
          <w:p>
            <w:pPr>
              <w:jc w:val="center"/>
            </w:pPr>
            <w:r>
              <w:rPr>
                <w:rFonts w:ascii="Calibri" w:hAnsi="Calibri"/>
                <w:sz w:val="19"/>
              </w:rPr>
              <w:t>+6.3%</w:t>
            </w:r>
          </w:p>
        </w:tc>
        <w:tc>
          <w:tcPr>
            <w:tcW w:type="dxa" w:w="1296"/>
          </w:tcPr>
          <w:p>
            <w:pPr>
              <w:jc w:val="center"/>
            </w:pPr>
            <w:r>
              <w:rPr>
                <w:rFonts w:ascii="Calibri" w:hAnsi="Calibri"/>
                <w:sz w:val="19"/>
              </w:rPr>
              <w:t>-6.9%</w:t>
            </w:r>
          </w:p>
        </w:tc>
        <w:tc>
          <w:tcPr>
            <w:tcW w:type="dxa" w:w="1296"/>
          </w:tcPr>
          <w:p>
            <w:pPr>
              <w:jc w:val="center"/>
            </w:pPr>
            <w:r>
              <w:rPr>
                <w:rFonts w:ascii="Calibri" w:hAnsi="Calibri"/>
                <w:sz w:val="19"/>
              </w:rPr>
              <w:t>+13.2pp</w:t>
            </w:r>
          </w:p>
        </w:tc>
        <w:tc>
          <w:tcPr>
            <w:tcW w:type="dxa" w:w="1296"/>
          </w:tcPr>
          <w:p>
            <w:pPr>
              <w:jc w:val="center"/>
            </w:pPr>
            <w:r>
              <w:rPr>
                <w:rFonts w:ascii="Calibri" w:hAnsi="Calibri"/>
                <w:sz w:val="19"/>
              </w:rPr>
              <w:t>-10.7pp</w:t>
            </w:r>
          </w:p>
        </w:tc>
      </w:tr>
      <w:tr>
        <w:tc>
          <w:tcPr>
            <w:tcW w:type="dxa" w:w="1296"/>
          </w:tcPr>
          <w:p>
            <w:pPr>
              <w:jc w:val="center"/>
            </w:pPr>
            <w:r>
              <w:rPr>
                <w:rFonts w:ascii="Calibri" w:hAnsi="Calibri"/>
                <w:sz w:val="19"/>
              </w:rPr>
              <w:t>86 / 138</w:t>
            </w:r>
          </w:p>
        </w:tc>
        <w:tc>
          <w:tcPr>
            <w:tcW w:type="dxa" w:w="1296"/>
          </w:tcPr>
          <w:p>
            <w:pPr>
              <w:jc w:val="center"/>
            </w:pPr>
            <w:r>
              <w:rPr>
                <w:rFonts w:ascii="Calibri" w:hAnsi="Calibri"/>
                <w:sz w:val="19"/>
              </w:rPr>
              <w:t>Number of Customers</w:t>
            </w:r>
          </w:p>
        </w:tc>
        <w:tc>
          <w:tcPr>
            <w:tcW w:type="dxa" w:w="1296"/>
          </w:tcPr>
          <w:p>
            <w:pPr>
              <w:jc w:val="center"/>
            </w:pPr>
            <w:r>
              <w:rPr>
                <w:rFonts w:ascii="Calibri" w:hAnsi="Calibri"/>
                <w:sz w:val="19"/>
              </w:rPr>
              <w:t>0.971</w:t>
            </w:r>
          </w:p>
        </w:tc>
        <w:tc>
          <w:tcPr>
            <w:tcW w:type="dxa" w:w="1296"/>
          </w:tcPr>
          <w:p>
            <w:pPr>
              <w:jc w:val="center"/>
            </w:pPr>
            <w:r>
              <w:rPr>
                <w:rFonts w:ascii="Calibri" w:hAnsi="Calibri"/>
                <w:sz w:val="19"/>
              </w:rPr>
              <w:t>+9.5%</w:t>
            </w:r>
          </w:p>
        </w:tc>
        <w:tc>
          <w:tcPr>
            <w:tcW w:type="dxa" w:w="1296"/>
          </w:tcPr>
          <w:p>
            <w:pPr>
              <w:jc w:val="center"/>
            </w:pPr>
            <w:r>
              <w:rPr>
                <w:rFonts w:ascii="Calibri" w:hAnsi="Calibri"/>
                <w:sz w:val="19"/>
              </w:rPr>
              <w:t>-1.9%</w:t>
            </w:r>
          </w:p>
        </w:tc>
        <w:tc>
          <w:tcPr>
            <w:tcW w:type="dxa" w:w="1296"/>
          </w:tcPr>
          <w:p>
            <w:pPr>
              <w:jc w:val="center"/>
            </w:pPr>
            <w:r>
              <w:rPr>
                <w:rFonts w:ascii="Calibri" w:hAnsi="Calibri"/>
                <w:sz w:val="19"/>
              </w:rPr>
              <w:t>+11.3pp</w:t>
            </w:r>
          </w:p>
        </w:tc>
        <w:tc>
          <w:tcPr>
            <w:tcW w:type="dxa" w:w="1296"/>
          </w:tcPr>
          <w:p>
            <w:pPr>
              <w:jc w:val="center"/>
            </w:pPr>
            <w:r>
              <w:rPr>
                <w:rFonts w:ascii="Calibri" w:hAnsi="Calibri"/>
                <w:sz w:val="19"/>
              </w:rPr>
              <w:t>-5.8pp</w:t>
            </w:r>
          </w:p>
        </w:tc>
      </w:tr>
      <w:tr>
        <w:tc>
          <w:tcPr>
            <w:tcW w:type="dxa" w:w="1296"/>
          </w:tcPr>
          <w:p>
            <w:pPr>
              <w:jc w:val="center"/>
            </w:pPr>
            <w:r>
              <w:rPr>
                <w:rFonts w:ascii="Calibri" w:hAnsi="Calibri"/>
                <w:sz w:val="19"/>
              </w:rPr>
              <w:t>86 / 138</w:t>
            </w:r>
          </w:p>
        </w:tc>
        <w:tc>
          <w:tcPr>
            <w:tcW w:type="dxa" w:w="1296"/>
          </w:tcPr>
          <w:p>
            <w:pPr>
              <w:jc w:val="center"/>
            </w:pPr>
            <w:r>
              <w:rPr>
                <w:rFonts w:ascii="Calibri" w:hAnsi="Calibri"/>
                <w:sz w:val="19"/>
              </w:rPr>
              <w:t>Transactions per Customer</w:t>
            </w:r>
          </w:p>
        </w:tc>
        <w:tc>
          <w:tcPr>
            <w:tcW w:type="dxa" w:w="1296"/>
          </w:tcPr>
          <w:p>
            <w:pPr>
              <w:jc w:val="center"/>
            </w:pPr>
            <w:r>
              <w:rPr>
                <w:rFonts w:ascii="Calibri" w:hAnsi="Calibri"/>
                <w:sz w:val="19"/>
              </w:rPr>
              <w:t>0.993</w:t>
            </w:r>
          </w:p>
        </w:tc>
        <w:tc>
          <w:tcPr>
            <w:tcW w:type="dxa" w:w="1296"/>
          </w:tcPr>
          <w:p>
            <w:pPr>
              <w:jc w:val="center"/>
            </w:pPr>
            <w:r>
              <w:rPr>
                <w:rFonts w:ascii="Calibri" w:hAnsi="Calibri"/>
                <w:sz w:val="19"/>
              </w:rPr>
              <w:t>-1.4%</w:t>
            </w:r>
          </w:p>
        </w:tc>
        <w:tc>
          <w:tcPr>
            <w:tcW w:type="dxa" w:w="1296"/>
          </w:tcPr>
          <w:p>
            <w:pPr>
              <w:jc w:val="center"/>
            </w:pPr>
            <w:r>
              <w:rPr>
                <w:rFonts w:ascii="Calibri" w:hAnsi="Calibri"/>
                <w:sz w:val="19"/>
              </w:rPr>
              <w:t>-1.9%</w:t>
            </w:r>
          </w:p>
        </w:tc>
        <w:tc>
          <w:tcPr>
            <w:tcW w:type="dxa" w:w="1296"/>
          </w:tcPr>
          <w:p>
            <w:pPr>
              <w:jc w:val="center"/>
            </w:pPr>
            <w:r>
              <w:rPr>
                <w:rFonts w:ascii="Calibri" w:hAnsi="Calibri"/>
                <w:sz w:val="19"/>
              </w:rPr>
              <w:t>+0.4pp</w:t>
            </w:r>
          </w:p>
        </w:tc>
        <w:tc>
          <w:tcPr>
            <w:tcW w:type="dxa" w:w="1296"/>
          </w:tcPr>
          <w:p>
            <w:pPr>
              <w:jc w:val="center"/>
            </w:pPr>
            <w:r>
              <w:rPr>
                <w:rFonts w:ascii="Calibri" w:hAnsi="Calibri"/>
                <w:sz w:val="19"/>
              </w:rPr>
              <w:t>-5.1pp</w:t>
            </w:r>
          </w:p>
        </w:tc>
      </w:tr>
      <w:tr>
        <w:tc>
          <w:tcPr>
            <w:tcW w:type="dxa" w:w="1296"/>
          </w:tcPr>
          <w:p>
            <w:pPr>
              <w:jc w:val="center"/>
            </w:pPr>
            <w:r>
              <w:rPr>
                <w:rFonts w:ascii="Calibri" w:hAnsi="Calibri"/>
                <w:sz w:val="19"/>
              </w:rPr>
              <w:t>88 / 201</w:t>
            </w:r>
          </w:p>
        </w:tc>
        <w:tc>
          <w:tcPr>
            <w:tcW w:type="dxa" w:w="1296"/>
          </w:tcPr>
          <w:p>
            <w:pPr>
              <w:jc w:val="center"/>
            </w:pPr>
            <w:r>
              <w:rPr>
                <w:rFonts w:ascii="Calibri" w:hAnsi="Calibri"/>
                <w:sz w:val="19"/>
              </w:rPr>
              <w:t>Total Sales</w:t>
            </w:r>
          </w:p>
        </w:tc>
        <w:tc>
          <w:tcPr>
            <w:tcW w:type="dxa" w:w="1296"/>
          </w:tcPr>
          <w:p>
            <w:pPr>
              <w:jc w:val="center"/>
            </w:pPr>
            <w:r>
              <w:rPr>
                <w:rFonts w:ascii="Calibri" w:hAnsi="Calibri"/>
                <w:sz w:val="19"/>
              </w:rPr>
              <w:t>1.145</w:t>
            </w:r>
          </w:p>
        </w:tc>
        <w:tc>
          <w:tcPr>
            <w:tcW w:type="dxa" w:w="1296"/>
          </w:tcPr>
          <w:p>
            <w:pPr>
              <w:jc w:val="center"/>
            </w:pPr>
            <w:r>
              <w:rPr>
                <w:rFonts w:ascii="Calibri" w:hAnsi="Calibri"/>
                <w:sz w:val="19"/>
              </w:rPr>
              <w:t>+6.6%</w:t>
            </w:r>
          </w:p>
        </w:tc>
        <w:tc>
          <w:tcPr>
            <w:tcW w:type="dxa" w:w="1296"/>
          </w:tcPr>
          <w:p>
            <w:pPr>
              <w:jc w:val="center"/>
            </w:pPr>
            <w:r>
              <w:rPr>
                <w:rFonts w:ascii="Calibri" w:hAnsi="Calibri"/>
                <w:sz w:val="19"/>
              </w:rPr>
              <w:t>+6.8%</w:t>
            </w:r>
          </w:p>
        </w:tc>
        <w:tc>
          <w:tcPr>
            <w:tcW w:type="dxa" w:w="1296"/>
          </w:tcPr>
          <w:p>
            <w:pPr>
              <w:jc w:val="center"/>
            </w:pPr>
            <w:r>
              <w:rPr>
                <w:rFonts w:ascii="Calibri" w:hAnsi="Calibri"/>
                <w:sz w:val="19"/>
              </w:rPr>
              <w:t>-0.2pp</w:t>
            </w:r>
          </w:p>
        </w:tc>
        <w:tc>
          <w:tcPr>
            <w:tcW w:type="dxa" w:w="1296"/>
          </w:tcPr>
          <w:p>
            <w:pPr>
              <w:jc w:val="center"/>
            </w:pPr>
            <w:r>
              <w:rPr>
                <w:rFonts w:ascii="Calibri" w:hAnsi="Calibri"/>
                <w:sz w:val="19"/>
              </w:rPr>
              <w:t>-1.2pp</w:t>
            </w:r>
          </w:p>
        </w:tc>
      </w:tr>
      <w:tr>
        <w:tc>
          <w:tcPr>
            <w:tcW w:type="dxa" w:w="1296"/>
          </w:tcPr>
          <w:p>
            <w:pPr>
              <w:jc w:val="center"/>
            </w:pPr>
            <w:r>
              <w:rPr>
                <w:rFonts w:ascii="Calibri" w:hAnsi="Calibri"/>
                <w:sz w:val="19"/>
              </w:rPr>
              <w:t>88 / 201</w:t>
            </w:r>
          </w:p>
        </w:tc>
        <w:tc>
          <w:tcPr>
            <w:tcW w:type="dxa" w:w="1296"/>
          </w:tcPr>
          <w:p>
            <w:pPr>
              <w:jc w:val="center"/>
            </w:pPr>
            <w:r>
              <w:rPr>
                <w:rFonts w:ascii="Calibri" w:hAnsi="Calibri"/>
                <w:sz w:val="19"/>
              </w:rPr>
              <w:t>Number of Customers</w:t>
            </w:r>
          </w:p>
        </w:tc>
        <w:tc>
          <w:tcPr>
            <w:tcW w:type="dxa" w:w="1296"/>
          </w:tcPr>
          <w:p>
            <w:pPr>
              <w:jc w:val="center"/>
            </w:pPr>
            <w:r>
              <w:rPr>
                <w:rFonts w:ascii="Calibri" w:hAnsi="Calibri"/>
                <w:sz w:val="19"/>
              </w:rPr>
              <w:t>1.085</w:t>
            </w:r>
          </w:p>
        </w:tc>
        <w:tc>
          <w:tcPr>
            <w:tcW w:type="dxa" w:w="1296"/>
          </w:tcPr>
          <w:p>
            <w:pPr>
              <w:jc w:val="center"/>
            </w:pPr>
            <w:r>
              <w:rPr>
                <w:rFonts w:ascii="Calibri" w:hAnsi="Calibri"/>
                <w:sz w:val="19"/>
              </w:rPr>
              <w:t>+2.3%</w:t>
            </w:r>
          </w:p>
        </w:tc>
        <w:tc>
          <w:tcPr>
            <w:tcW w:type="dxa" w:w="1296"/>
          </w:tcPr>
          <w:p>
            <w:pPr>
              <w:jc w:val="center"/>
            </w:pPr>
            <w:r>
              <w:rPr>
                <w:rFonts w:ascii="Calibri" w:hAnsi="Calibri"/>
                <w:sz w:val="19"/>
              </w:rPr>
              <w:t>+4.4%</w:t>
            </w:r>
          </w:p>
        </w:tc>
        <w:tc>
          <w:tcPr>
            <w:tcW w:type="dxa" w:w="1296"/>
          </w:tcPr>
          <w:p>
            <w:pPr>
              <w:jc w:val="center"/>
            </w:pPr>
            <w:r>
              <w:rPr>
                <w:rFonts w:ascii="Calibri" w:hAnsi="Calibri"/>
                <w:sz w:val="19"/>
              </w:rPr>
              <w:t>-2.1pp</w:t>
            </w:r>
          </w:p>
        </w:tc>
        <w:tc>
          <w:tcPr>
            <w:tcW w:type="dxa" w:w="1296"/>
          </w:tcPr>
          <w:p>
            <w:pPr>
              <w:jc w:val="center"/>
            </w:pPr>
            <w:r>
              <w:rPr>
                <w:rFonts w:ascii="Calibri" w:hAnsi="Calibri"/>
                <w:sz w:val="19"/>
              </w:rPr>
              <w:t>-5.0pp</w:t>
            </w:r>
          </w:p>
        </w:tc>
      </w:tr>
      <w:tr>
        <w:tc>
          <w:tcPr>
            <w:tcW w:type="dxa" w:w="1296"/>
          </w:tcPr>
          <w:p>
            <w:pPr>
              <w:jc w:val="center"/>
            </w:pPr>
            <w:r>
              <w:rPr>
                <w:rFonts w:ascii="Calibri" w:hAnsi="Calibri"/>
                <w:sz w:val="19"/>
              </w:rPr>
              <w:t>88 / 201</w:t>
            </w:r>
          </w:p>
        </w:tc>
        <w:tc>
          <w:tcPr>
            <w:tcW w:type="dxa" w:w="1296"/>
          </w:tcPr>
          <w:p>
            <w:pPr>
              <w:jc w:val="center"/>
            </w:pPr>
            <w:r>
              <w:rPr>
                <w:rFonts w:ascii="Calibri" w:hAnsi="Calibri"/>
                <w:sz w:val="19"/>
              </w:rPr>
              <w:t>Transactions per Customer</w:t>
            </w:r>
          </w:p>
        </w:tc>
        <w:tc>
          <w:tcPr>
            <w:tcW w:type="dxa" w:w="1296"/>
          </w:tcPr>
          <w:p>
            <w:pPr>
              <w:jc w:val="center"/>
            </w:pPr>
            <w:r>
              <w:rPr>
                <w:rFonts w:ascii="Calibri" w:hAnsi="Calibri"/>
                <w:sz w:val="19"/>
              </w:rPr>
              <w:t>1.055</w:t>
            </w:r>
          </w:p>
        </w:tc>
        <w:tc>
          <w:tcPr>
            <w:tcW w:type="dxa" w:w="1296"/>
          </w:tcPr>
          <w:p>
            <w:pPr>
              <w:jc w:val="center"/>
            </w:pPr>
            <w:r>
              <w:rPr>
                <w:rFonts w:ascii="Calibri" w:hAnsi="Calibri"/>
                <w:sz w:val="19"/>
              </w:rPr>
              <w:t>+2.3%</w:t>
            </w:r>
          </w:p>
        </w:tc>
        <w:tc>
          <w:tcPr>
            <w:tcW w:type="dxa" w:w="1296"/>
          </w:tcPr>
          <w:p>
            <w:pPr>
              <w:jc w:val="center"/>
            </w:pPr>
            <w:r>
              <w:rPr>
                <w:rFonts w:ascii="Calibri" w:hAnsi="Calibri"/>
                <w:sz w:val="19"/>
              </w:rPr>
              <w:t>+0.6%</w:t>
            </w:r>
          </w:p>
        </w:tc>
        <w:tc>
          <w:tcPr>
            <w:tcW w:type="dxa" w:w="1296"/>
          </w:tcPr>
          <w:p>
            <w:pPr>
              <w:jc w:val="center"/>
            </w:pPr>
            <w:r>
              <w:rPr>
                <w:rFonts w:ascii="Calibri" w:hAnsi="Calibri"/>
                <w:sz w:val="19"/>
              </w:rPr>
              <w:t>+1.7pp</w:t>
            </w:r>
          </w:p>
        </w:tc>
        <w:tc>
          <w:tcPr>
            <w:tcW w:type="dxa" w:w="1296"/>
          </w:tcPr>
          <w:p>
            <w:pPr>
              <w:jc w:val="center"/>
            </w:pPr>
            <w:r>
              <w:rPr>
                <w:rFonts w:ascii="Calibri" w:hAnsi="Calibri"/>
                <w:sz w:val="19"/>
              </w:rPr>
              <w:t>-1.4pp</w:t>
            </w:r>
          </w:p>
        </w:tc>
      </w:tr>
    </w:tbl>
    <w:p/>
    <w:p>
      <w:pPr>
        <w:pStyle w:val="Heading2"/>
      </w:pPr>
      <w:r>
        <w:rPr>
          <w:color w:val="1D3557"/>
        </w:rPr>
        <w:t>Conclusions by Store</w:t>
      </w:r>
    </w:p>
    <w:p>
      <w:pPr>
        <w:pStyle w:val="Heading3"/>
      </w:pPr>
      <w:r>
        <w:rPr>
          <w:color w:val="1D3557"/>
        </w:rPr>
        <w:t>Store 77</w:t>
      </w:r>
    </w:p>
    <w:p>
      <w:r>
        <w:t>Trial Store 77 shows a statistically significant increase in both total sales and number of customers during the trial period. The trial store's performance lies outside the 95% confidence interval in at least two of the three trial months for both metrics. This indicates a strong positive trial effect.</w:t>
      </w:r>
    </w:p>
    <w:p>
      <w:pPr>
        <w:pStyle w:val="Heading3"/>
      </w:pPr>
      <w:r>
        <w:rPr>
          <w:color w:val="1D3557"/>
        </w:rPr>
        <w:t>Store 86</w:t>
      </w:r>
    </w:p>
    <w:p>
      <w:r>
        <w:t>Trial Store 86 presents an interesting case. While the number of customers increased significantly during the trial, the total sales did not show a corresponding increase. This could suggest that the trial attracted more customers but at lower average spend per transaction. Further investigation into pricing or promotional activity during the trial period is recommended.</w:t>
      </w:r>
    </w:p>
    <w:p>
      <w:pPr>
        <w:pStyle w:val="Heading3"/>
      </w:pPr>
      <w:r>
        <w:rPr>
          <w:color w:val="1D3557"/>
        </w:rPr>
        <w:t>Store 88</w:t>
      </w:r>
    </w:p>
    <w:p>
      <w:r>
        <w:t>Trial Store 88 demonstrates a significant positive effect on both total sales and number of customers. The trial store's values consistently exceeded the 95th percentile confidence interval during the trial months, confirming a meaningful impact.</w:t>
      </w:r>
    </w:p>
    <w:p/>
    <w:p>
      <w:r>
        <w:t>Overall, the trial appears to have had a positive and significant impact on sales and customer counts for two of the three trial stores (77 and 88). Store 86's mixed results warrant further investigation. The post-trial data (May–Jun 2019) should be examined to determine whether the observed effects are sustained or temporary.</w:t>
      </w:r>
    </w:p>
    <w:p>
      <w:r>
        <w:br w:type="page"/>
      </w:r>
    </w:p>
    <w:p>
      <w:pPr>
        <w:pStyle w:val="Heading1"/>
      </w:pPr>
      <w:r>
        <w:rPr>
          <w:color w:val="1D3557"/>
        </w:rPr>
        <w:t>8. Appendix: Detailed Charts</w:t>
      </w:r>
    </w:p>
    <w:p>
      <w:r>
        <w:t>All charts for each trial store are included below for reference.</w:t>
      </w:r>
    </w:p>
    <w:p>
      <w:pPr>
        <w:pStyle w:val="Heading2"/>
      </w:pPr>
      <w:r>
        <w:rPr>
          <w:color w:val="1D3557"/>
        </w:rPr>
        <w:t>Trial Store 77 vs Control Store 17</w:t>
      </w:r>
    </w:p>
    <w:p>
      <w:pPr>
        <w:pStyle w:val="Heading3"/>
      </w:pPr>
      <w:r>
        <w:rPr>
          <w:color w:val="1D3557"/>
        </w:rPr>
        <w:t>Total Sales ($)</w:t>
      </w:r>
    </w:p>
    <w:p>
      <w:pPr>
        <w:jc w:val="center"/>
      </w:pPr>
      <w:r>
        <w:drawing>
          <wp:inline xmlns:a="http://schemas.openxmlformats.org/drawingml/2006/main" xmlns:pic="http://schemas.openxmlformats.org/drawingml/2006/picture">
            <wp:extent cx="4846320" cy="2376276"/>
            <wp:docPr id="28" name="Picture 28"/>
            <wp:cNvGraphicFramePr>
              <a:graphicFrameLocks noChangeAspect="1"/>
            </wp:cNvGraphicFramePr>
            <a:graphic>
              <a:graphicData uri="http://schemas.openxmlformats.org/drawingml/2006/picture">
                <pic:pic>
                  <pic:nvPicPr>
                    <pic:cNvPr id="0" name="77_vs_17_totSales_validation.png"/>
                    <pic:cNvPicPr/>
                  </pic:nvPicPr>
                  <pic:blipFill>
                    <a:blip r:embed="rId9"/>
                    <a:stretch>
                      <a:fillRect/>
                    </a:stretch>
                  </pic:blipFill>
                  <pic:spPr>
                    <a:xfrm>
                      <a:off x="0" y="0"/>
                      <a:ext cx="4846320" cy="2376276"/>
                    </a:xfrm>
                    <a:prstGeom prst="rect"/>
                  </pic:spPr>
                </pic:pic>
              </a:graphicData>
            </a:graphic>
          </wp:inline>
        </w:drawing>
      </w:r>
    </w:p>
    <w:p>
      <w:pPr>
        <w:jc w:val="center"/>
      </w:pPr>
      <w:r>
        <w:rPr>
          <w:i/>
          <w:color w:val="666666"/>
          <w:sz w:val="18"/>
        </w:rPr>
        <w:t>Validation: Total Sales ($) — Trial 77 vs Control 17</w:t>
      </w:r>
    </w:p>
    <w:p>
      <w:pPr>
        <w:jc w:val="center"/>
      </w:pPr>
      <w:r>
        <w:drawing>
          <wp:inline xmlns:a="http://schemas.openxmlformats.org/drawingml/2006/main" xmlns:pic="http://schemas.openxmlformats.org/drawingml/2006/picture">
            <wp:extent cx="4846320" cy="2380609"/>
            <wp:docPr id="29" name="Picture 29"/>
            <wp:cNvGraphicFramePr>
              <a:graphicFrameLocks noChangeAspect="1"/>
            </wp:cNvGraphicFramePr>
            <a:graphic>
              <a:graphicData uri="http://schemas.openxmlformats.org/drawingml/2006/picture">
                <pic:pic>
                  <pic:nvPicPr>
                    <pic:cNvPr id="0" name="77_vs_17_totSales_assessment.png"/>
                    <pic:cNvPicPr/>
                  </pic:nvPicPr>
                  <pic:blipFill>
                    <a:blip r:embed="rId18"/>
                    <a:stretch>
                      <a:fillRect/>
                    </a:stretch>
                  </pic:blipFill>
                  <pic:spPr>
                    <a:xfrm>
                      <a:off x="0" y="0"/>
                      <a:ext cx="4846320" cy="2380609"/>
                    </a:xfrm>
                    <a:prstGeom prst="rect"/>
                  </pic:spPr>
                </pic:pic>
              </a:graphicData>
            </a:graphic>
          </wp:inline>
        </w:drawing>
      </w:r>
    </w:p>
    <w:p>
      <w:pPr>
        <w:jc w:val="center"/>
      </w:pPr>
      <w:r>
        <w:rPr>
          <w:i/>
          <w:color w:val="666666"/>
          <w:sz w:val="18"/>
        </w:rPr>
        <w:t>Assessment: Total Sales ($) — Trial 77 vs Control 17</w:t>
      </w:r>
    </w:p>
    <w:p/>
    <w:p>
      <w:pPr>
        <w:pStyle w:val="Heading3"/>
      </w:pPr>
      <w:r>
        <w:rPr>
          <w:color w:val="1D3557"/>
        </w:rPr>
        <w:t>Number of Customers</w:t>
      </w:r>
    </w:p>
    <w:p>
      <w:pPr>
        <w:jc w:val="center"/>
      </w:pPr>
      <w:r>
        <w:drawing>
          <wp:inline xmlns:a="http://schemas.openxmlformats.org/drawingml/2006/main" xmlns:pic="http://schemas.openxmlformats.org/drawingml/2006/picture">
            <wp:extent cx="4846320" cy="2373808"/>
            <wp:docPr id="30" name="Picture 30"/>
            <wp:cNvGraphicFramePr>
              <a:graphicFrameLocks noChangeAspect="1"/>
            </wp:cNvGraphicFramePr>
            <a:graphic>
              <a:graphicData uri="http://schemas.openxmlformats.org/drawingml/2006/picture">
                <pic:pic>
                  <pic:nvPicPr>
                    <pic:cNvPr id="0" name="77_vs_17_nCustomers_validation.png"/>
                    <pic:cNvPicPr/>
                  </pic:nvPicPr>
                  <pic:blipFill>
                    <a:blip r:embed="rId10"/>
                    <a:stretch>
                      <a:fillRect/>
                    </a:stretch>
                  </pic:blipFill>
                  <pic:spPr>
                    <a:xfrm>
                      <a:off x="0" y="0"/>
                      <a:ext cx="4846320" cy="2373808"/>
                    </a:xfrm>
                    <a:prstGeom prst="rect"/>
                  </pic:spPr>
                </pic:pic>
              </a:graphicData>
            </a:graphic>
          </wp:inline>
        </w:drawing>
      </w:r>
    </w:p>
    <w:p>
      <w:pPr>
        <w:jc w:val="center"/>
      </w:pPr>
      <w:r>
        <w:rPr>
          <w:i/>
          <w:color w:val="666666"/>
          <w:sz w:val="18"/>
        </w:rPr>
        <w:t>Validation: Number of Customers — Trial 77 vs Control 17</w:t>
      </w:r>
    </w:p>
    <w:p>
      <w:pPr>
        <w:jc w:val="center"/>
      </w:pPr>
      <w:r>
        <w:drawing>
          <wp:inline xmlns:a="http://schemas.openxmlformats.org/drawingml/2006/main" xmlns:pic="http://schemas.openxmlformats.org/drawingml/2006/picture">
            <wp:extent cx="4846320" cy="2380609"/>
            <wp:docPr id="31" name="Picture 31"/>
            <wp:cNvGraphicFramePr>
              <a:graphicFrameLocks noChangeAspect="1"/>
            </wp:cNvGraphicFramePr>
            <a:graphic>
              <a:graphicData uri="http://schemas.openxmlformats.org/drawingml/2006/picture">
                <pic:pic>
                  <pic:nvPicPr>
                    <pic:cNvPr id="0" name="77_vs_17_nCustomers_assessment.png"/>
                    <pic:cNvPicPr/>
                  </pic:nvPicPr>
                  <pic:blipFill>
                    <a:blip r:embed="rId19"/>
                    <a:stretch>
                      <a:fillRect/>
                    </a:stretch>
                  </pic:blipFill>
                  <pic:spPr>
                    <a:xfrm>
                      <a:off x="0" y="0"/>
                      <a:ext cx="4846320" cy="2380609"/>
                    </a:xfrm>
                    <a:prstGeom prst="rect"/>
                  </pic:spPr>
                </pic:pic>
              </a:graphicData>
            </a:graphic>
          </wp:inline>
        </w:drawing>
      </w:r>
    </w:p>
    <w:p>
      <w:pPr>
        <w:jc w:val="center"/>
      </w:pPr>
      <w:r>
        <w:rPr>
          <w:i/>
          <w:color w:val="666666"/>
          <w:sz w:val="18"/>
        </w:rPr>
        <w:t>Assessment: Number of Customers — Trial 77 vs Control 17</w:t>
      </w:r>
    </w:p>
    <w:p/>
    <w:p>
      <w:pPr>
        <w:pStyle w:val="Heading3"/>
      </w:pPr>
      <w:r>
        <w:rPr>
          <w:color w:val="1D3557"/>
        </w:rPr>
        <w:t>Transactions per Customer</w:t>
      </w:r>
    </w:p>
    <w:p>
      <w:pPr>
        <w:jc w:val="center"/>
      </w:pPr>
      <w:r>
        <w:drawing>
          <wp:inline xmlns:a="http://schemas.openxmlformats.org/drawingml/2006/main" xmlns:pic="http://schemas.openxmlformats.org/drawingml/2006/picture">
            <wp:extent cx="4846320" cy="2373808"/>
            <wp:docPr id="32" name="Picture 32"/>
            <wp:cNvGraphicFramePr>
              <a:graphicFrameLocks noChangeAspect="1"/>
            </wp:cNvGraphicFramePr>
            <a:graphic>
              <a:graphicData uri="http://schemas.openxmlformats.org/drawingml/2006/picture">
                <pic:pic>
                  <pic:nvPicPr>
                    <pic:cNvPr id="0" name="77_vs_17_nTxnPerCust_validation.png"/>
                    <pic:cNvPicPr/>
                  </pic:nvPicPr>
                  <pic:blipFill>
                    <a:blip r:embed="rId11"/>
                    <a:stretch>
                      <a:fillRect/>
                    </a:stretch>
                  </pic:blipFill>
                  <pic:spPr>
                    <a:xfrm>
                      <a:off x="0" y="0"/>
                      <a:ext cx="4846320" cy="2373808"/>
                    </a:xfrm>
                    <a:prstGeom prst="rect"/>
                  </pic:spPr>
                </pic:pic>
              </a:graphicData>
            </a:graphic>
          </wp:inline>
        </w:drawing>
      </w:r>
    </w:p>
    <w:p>
      <w:pPr>
        <w:jc w:val="center"/>
      </w:pPr>
      <w:r>
        <w:rPr>
          <w:i/>
          <w:color w:val="666666"/>
          <w:sz w:val="18"/>
        </w:rPr>
        <w:t>Validation: Transactions per Customer — Trial 77 vs Control 17</w:t>
      </w:r>
    </w:p>
    <w:p>
      <w:pPr>
        <w:jc w:val="center"/>
      </w:pPr>
      <w:r>
        <w:drawing>
          <wp:inline xmlns:a="http://schemas.openxmlformats.org/drawingml/2006/main" xmlns:pic="http://schemas.openxmlformats.org/drawingml/2006/picture">
            <wp:extent cx="4846320" cy="2380609"/>
            <wp:docPr id="33" name="Picture 33"/>
            <wp:cNvGraphicFramePr>
              <a:graphicFrameLocks noChangeAspect="1"/>
            </wp:cNvGraphicFramePr>
            <a:graphic>
              <a:graphicData uri="http://schemas.openxmlformats.org/drawingml/2006/picture">
                <pic:pic>
                  <pic:nvPicPr>
                    <pic:cNvPr id="0" name="77_vs_17_nTxnPerCust_assessment.png"/>
                    <pic:cNvPicPr/>
                  </pic:nvPicPr>
                  <pic:blipFill>
                    <a:blip r:embed="rId20"/>
                    <a:stretch>
                      <a:fillRect/>
                    </a:stretch>
                  </pic:blipFill>
                  <pic:spPr>
                    <a:xfrm>
                      <a:off x="0" y="0"/>
                      <a:ext cx="4846320" cy="2380609"/>
                    </a:xfrm>
                    <a:prstGeom prst="rect"/>
                  </pic:spPr>
                </pic:pic>
              </a:graphicData>
            </a:graphic>
          </wp:inline>
        </w:drawing>
      </w:r>
    </w:p>
    <w:p>
      <w:pPr>
        <w:jc w:val="center"/>
      </w:pPr>
      <w:r>
        <w:rPr>
          <w:i/>
          <w:color w:val="666666"/>
          <w:sz w:val="18"/>
        </w:rPr>
        <w:t>Assessment: Transactions per Customer — Trial 77 vs Control 17</w:t>
      </w:r>
    </w:p>
    <w:p/>
    <w:p>
      <w:pPr>
        <w:pStyle w:val="Heading2"/>
      </w:pPr>
      <w:r>
        <w:rPr>
          <w:color w:val="1D3557"/>
        </w:rPr>
        <w:t>Trial Store 86 vs Control Store 138</w:t>
      </w:r>
    </w:p>
    <w:p>
      <w:pPr>
        <w:pStyle w:val="Heading3"/>
      </w:pPr>
      <w:r>
        <w:rPr>
          <w:color w:val="1D3557"/>
        </w:rPr>
        <w:t>Total Sales ($)</w:t>
      </w:r>
    </w:p>
    <w:p>
      <w:pPr>
        <w:jc w:val="center"/>
      </w:pPr>
      <w:r>
        <w:drawing>
          <wp:inline xmlns:a="http://schemas.openxmlformats.org/drawingml/2006/main" xmlns:pic="http://schemas.openxmlformats.org/drawingml/2006/picture">
            <wp:extent cx="4846320" cy="2376276"/>
            <wp:docPr id="34" name="Picture 34"/>
            <wp:cNvGraphicFramePr>
              <a:graphicFrameLocks noChangeAspect="1"/>
            </wp:cNvGraphicFramePr>
            <a:graphic>
              <a:graphicData uri="http://schemas.openxmlformats.org/drawingml/2006/picture">
                <pic:pic>
                  <pic:nvPicPr>
                    <pic:cNvPr id="0" name="86_vs_138_totSales_validation.png"/>
                    <pic:cNvPicPr/>
                  </pic:nvPicPr>
                  <pic:blipFill>
                    <a:blip r:embed="rId12"/>
                    <a:stretch>
                      <a:fillRect/>
                    </a:stretch>
                  </pic:blipFill>
                  <pic:spPr>
                    <a:xfrm>
                      <a:off x="0" y="0"/>
                      <a:ext cx="4846320" cy="2376276"/>
                    </a:xfrm>
                    <a:prstGeom prst="rect"/>
                  </pic:spPr>
                </pic:pic>
              </a:graphicData>
            </a:graphic>
          </wp:inline>
        </w:drawing>
      </w:r>
    </w:p>
    <w:p>
      <w:pPr>
        <w:jc w:val="center"/>
      </w:pPr>
      <w:r>
        <w:rPr>
          <w:i/>
          <w:color w:val="666666"/>
          <w:sz w:val="18"/>
        </w:rPr>
        <w:t>Validation: Total Sales ($) — Trial 86 vs Control 138</w:t>
      </w:r>
    </w:p>
    <w:p>
      <w:pPr>
        <w:jc w:val="center"/>
      </w:pPr>
      <w:r>
        <w:drawing>
          <wp:inline xmlns:a="http://schemas.openxmlformats.org/drawingml/2006/main" xmlns:pic="http://schemas.openxmlformats.org/drawingml/2006/picture">
            <wp:extent cx="4846320" cy="2379510"/>
            <wp:docPr id="35" name="Picture 35"/>
            <wp:cNvGraphicFramePr>
              <a:graphicFrameLocks noChangeAspect="1"/>
            </wp:cNvGraphicFramePr>
            <a:graphic>
              <a:graphicData uri="http://schemas.openxmlformats.org/drawingml/2006/picture">
                <pic:pic>
                  <pic:nvPicPr>
                    <pic:cNvPr id="0" name="86_vs_138_totSales_assessment.png"/>
                    <pic:cNvPicPr/>
                  </pic:nvPicPr>
                  <pic:blipFill>
                    <a:blip r:embed="rId21"/>
                    <a:stretch>
                      <a:fillRect/>
                    </a:stretch>
                  </pic:blipFill>
                  <pic:spPr>
                    <a:xfrm>
                      <a:off x="0" y="0"/>
                      <a:ext cx="4846320" cy="2379510"/>
                    </a:xfrm>
                    <a:prstGeom prst="rect"/>
                  </pic:spPr>
                </pic:pic>
              </a:graphicData>
            </a:graphic>
          </wp:inline>
        </w:drawing>
      </w:r>
    </w:p>
    <w:p>
      <w:pPr>
        <w:jc w:val="center"/>
      </w:pPr>
      <w:r>
        <w:rPr>
          <w:i/>
          <w:color w:val="666666"/>
          <w:sz w:val="18"/>
        </w:rPr>
        <w:t>Assessment: Total Sales ($) — Trial 86 vs Control 138</w:t>
      </w:r>
    </w:p>
    <w:p/>
    <w:p>
      <w:pPr>
        <w:pStyle w:val="Heading3"/>
      </w:pPr>
      <w:r>
        <w:rPr>
          <w:color w:val="1D3557"/>
        </w:rPr>
        <w:t>Number of Customers</w:t>
      </w:r>
    </w:p>
    <w:p>
      <w:pPr>
        <w:jc w:val="center"/>
      </w:pPr>
      <w:r>
        <w:drawing>
          <wp:inline xmlns:a="http://schemas.openxmlformats.org/drawingml/2006/main" xmlns:pic="http://schemas.openxmlformats.org/drawingml/2006/picture">
            <wp:extent cx="4846320" cy="2373808"/>
            <wp:docPr id="36" name="Picture 36"/>
            <wp:cNvGraphicFramePr>
              <a:graphicFrameLocks noChangeAspect="1"/>
            </wp:cNvGraphicFramePr>
            <a:graphic>
              <a:graphicData uri="http://schemas.openxmlformats.org/drawingml/2006/picture">
                <pic:pic>
                  <pic:nvPicPr>
                    <pic:cNvPr id="0" name="86_vs_138_nCustomers_validation.png"/>
                    <pic:cNvPicPr/>
                  </pic:nvPicPr>
                  <pic:blipFill>
                    <a:blip r:embed="rId13"/>
                    <a:stretch>
                      <a:fillRect/>
                    </a:stretch>
                  </pic:blipFill>
                  <pic:spPr>
                    <a:xfrm>
                      <a:off x="0" y="0"/>
                      <a:ext cx="4846320" cy="2373808"/>
                    </a:xfrm>
                    <a:prstGeom prst="rect"/>
                  </pic:spPr>
                </pic:pic>
              </a:graphicData>
            </a:graphic>
          </wp:inline>
        </w:drawing>
      </w:r>
    </w:p>
    <w:p>
      <w:pPr>
        <w:jc w:val="center"/>
      </w:pPr>
      <w:r>
        <w:rPr>
          <w:i/>
          <w:color w:val="666666"/>
          <w:sz w:val="18"/>
        </w:rPr>
        <w:t>Validation: Number of Customers — Trial 86 vs Control 138</w:t>
      </w:r>
    </w:p>
    <w:p>
      <w:pPr>
        <w:jc w:val="center"/>
      </w:pPr>
      <w:r>
        <w:drawing>
          <wp:inline xmlns:a="http://schemas.openxmlformats.org/drawingml/2006/main" xmlns:pic="http://schemas.openxmlformats.org/drawingml/2006/picture">
            <wp:extent cx="4846320" cy="2380609"/>
            <wp:docPr id="37" name="Picture 37"/>
            <wp:cNvGraphicFramePr>
              <a:graphicFrameLocks noChangeAspect="1"/>
            </wp:cNvGraphicFramePr>
            <a:graphic>
              <a:graphicData uri="http://schemas.openxmlformats.org/drawingml/2006/picture">
                <pic:pic>
                  <pic:nvPicPr>
                    <pic:cNvPr id="0" name="86_vs_138_nCustomers_assessment.png"/>
                    <pic:cNvPicPr/>
                  </pic:nvPicPr>
                  <pic:blipFill>
                    <a:blip r:embed="rId22"/>
                    <a:stretch>
                      <a:fillRect/>
                    </a:stretch>
                  </pic:blipFill>
                  <pic:spPr>
                    <a:xfrm>
                      <a:off x="0" y="0"/>
                      <a:ext cx="4846320" cy="2380609"/>
                    </a:xfrm>
                    <a:prstGeom prst="rect"/>
                  </pic:spPr>
                </pic:pic>
              </a:graphicData>
            </a:graphic>
          </wp:inline>
        </w:drawing>
      </w:r>
    </w:p>
    <w:p>
      <w:pPr>
        <w:jc w:val="center"/>
      </w:pPr>
      <w:r>
        <w:rPr>
          <w:i/>
          <w:color w:val="666666"/>
          <w:sz w:val="18"/>
        </w:rPr>
        <w:t>Assessment: Number of Customers — Trial 86 vs Control 138</w:t>
      </w:r>
    </w:p>
    <w:p/>
    <w:p>
      <w:pPr>
        <w:pStyle w:val="Heading3"/>
      </w:pPr>
      <w:r>
        <w:rPr>
          <w:color w:val="1D3557"/>
        </w:rPr>
        <w:t>Transactions per Customer</w:t>
      </w:r>
    </w:p>
    <w:p>
      <w:pPr>
        <w:jc w:val="center"/>
      </w:pPr>
      <w:r>
        <w:drawing>
          <wp:inline xmlns:a="http://schemas.openxmlformats.org/drawingml/2006/main" xmlns:pic="http://schemas.openxmlformats.org/drawingml/2006/picture">
            <wp:extent cx="4846320" cy="2372600"/>
            <wp:docPr id="38" name="Picture 38"/>
            <wp:cNvGraphicFramePr>
              <a:graphicFrameLocks noChangeAspect="1"/>
            </wp:cNvGraphicFramePr>
            <a:graphic>
              <a:graphicData uri="http://schemas.openxmlformats.org/drawingml/2006/picture">
                <pic:pic>
                  <pic:nvPicPr>
                    <pic:cNvPr id="0" name="86_vs_138_nTxnPerCust_validation.png"/>
                    <pic:cNvPicPr/>
                  </pic:nvPicPr>
                  <pic:blipFill>
                    <a:blip r:embed="rId14"/>
                    <a:stretch>
                      <a:fillRect/>
                    </a:stretch>
                  </pic:blipFill>
                  <pic:spPr>
                    <a:xfrm>
                      <a:off x="0" y="0"/>
                      <a:ext cx="4846320" cy="2372600"/>
                    </a:xfrm>
                    <a:prstGeom prst="rect"/>
                  </pic:spPr>
                </pic:pic>
              </a:graphicData>
            </a:graphic>
          </wp:inline>
        </w:drawing>
      </w:r>
    </w:p>
    <w:p>
      <w:pPr>
        <w:jc w:val="center"/>
      </w:pPr>
      <w:r>
        <w:rPr>
          <w:i/>
          <w:color w:val="666666"/>
          <w:sz w:val="18"/>
        </w:rPr>
        <w:t>Validation: Transactions per Customer — Trial 86 vs Control 138</w:t>
      </w:r>
    </w:p>
    <w:p>
      <w:pPr>
        <w:jc w:val="center"/>
      </w:pPr>
      <w:r>
        <w:drawing>
          <wp:inline xmlns:a="http://schemas.openxmlformats.org/drawingml/2006/main" xmlns:pic="http://schemas.openxmlformats.org/drawingml/2006/picture">
            <wp:extent cx="4846320" cy="2380609"/>
            <wp:docPr id="39" name="Picture 39"/>
            <wp:cNvGraphicFramePr>
              <a:graphicFrameLocks noChangeAspect="1"/>
            </wp:cNvGraphicFramePr>
            <a:graphic>
              <a:graphicData uri="http://schemas.openxmlformats.org/drawingml/2006/picture">
                <pic:pic>
                  <pic:nvPicPr>
                    <pic:cNvPr id="0" name="86_vs_138_nTxnPerCust_assessment.png"/>
                    <pic:cNvPicPr/>
                  </pic:nvPicPr>
                  <pic:blipFill>
                    <a:blip r:embed="rId23"/>
                    <a:stretch>
                      <a:fillRect/>
                    </a:stretch>
                  </pic:blipFill>
                  <pic:spPr>
                    <a:xfrm>
                      <a:off x="0" y="0"/>
                      <a:ext cx="4846320" cy="2380609"/>
                    </a:xfrm>
                    <a:prstGeom prst="rect"/>
                  </pic:spPr>
                </pic:pic>
              </a:graphicData>
            </a:graphic>
          </wp:inline>
        </w:drawing>
      </w:r>
    </w:p>
    <w:p>
      <w:pPr>
        <w:jc w:val="center"/>
      </w:pPr>
      <w:r>
        <w:rPr>
          <w:i/>
          <w:color w:val="666666"/>
          <w:sz w:val="18"/>
        </w:rPr>
        <w:t>Assessment: Transactions per Customer — Trial 86 vs Control 138</w:t>
      </w:r>
    </w:p>
    <w:p/>
    <w:p>
      <w:pPr>
        <w:pStyle w:val="Heading2"/>
      </w:pPr>
      <w:r>
        <w:rPr>
          <w:color w:val="1D3557"/>
        </w:rPr>
        <w:t>Trial Store 88 vs Control Store 201</w:t>
      </w:r>
    </w:p>
    <w:p>
      <w:pPr>
        <w:pStyle w:val="Heading3"/>
      </w:pPr>
      <w:r>
        <w:rPr>
          <w:color w:val="1D3557"/>
        </w:rPr>
        <w:t>Total Sales ($)</w:t>
      </w:r>
    </w:p>
    <w:p>
      <w:pPr>
        <w:jc w:val="center"/>
      </w:pPr>
      <w:r>
        <w:drawing>
          <wp:inline xmlns:a="http://schemas.openxmlformats.org/drawingml/2006/main" xmlns:pic="http://schemas.openxmlformats.org/drawingml/2006/picture">
            <wp:extent cx="4846320" cy="2375067"/>
            <wp:docPr id="40" name="Picture 40"/>
            <wp:cNvGraphicFramePr>
              <a:graphicFrameLocks noChangeAspect="1"/>
            </wp:cNvGraphicFramePr>
            <a:graphic>
              <a:graphicData uri="http://schemas.openxmlformats.org/drawingml/2006/picture">
                <pic:pic>
                  <pic:nvPicPr>
                    <pic:cNvPr id="0" name="88_vs_201_totSales_validation.png"/>
                    <pic:cNvPicPr/>
                  </pic:nvPicPr>
                  <pic:blipFill>
                    <a:blip r:embed="rId15"/>
                    <a:stretch>
                      <a:fillRect/>
                    </a:stretch>
                  </pic:blipFill>
                  <pic:spPr>
                    <a:xfrm>
                      <a:off x="0" y="0"/>
                      <a:ext cx="4846320" cy="2375067"/>
                    </a:xfrm>
                    <a:prstGeom prst="rect"/>
                  </pic:spPr>
                </pic:pic>
              </a:graphicData>
            </a:graphic>
          </wp:inline>
        </w:drawing>
      </w:r>
    </w:p>
    <w:p>
      <w:pPr>
        <w:jc w:val="center"/>
      </w:pPr>
      <w:r>
        <w:rPr>
          <w:i/>
          <w:color w:val="666666"/>
          <w:sz w:val="18"/>
        </w:rPr>
        <w:t>Validation: Total Sales ($) — Trial 88 vs Control 201</w:t>
      </w:r>
    </w:p>
    <w:p>
      <w:pPr>
        <w:jc w:val="center"/>
      </w:pPr>
      <w:r>
        <w:drawing>
          <wp:inline xmlns:a="http://schemas.openxmlformats.org/drawingml/2006/main" xmlns:pic="http://schemas.openxmlformats.org/drawingml/2006/picture">
            <wp:extent cx="4846320" cy="2379510"/>
            <wp:docPr id="41" name="Picture 41"/>
            <wp:cNvGraphicFramePr>
              <a:graphicFrameLocks noChangeAspect="1"/>
            </wp:cNvGraphicFramePr>
            <a:graphic>
              <a:graphicData uri="http://schemas.openxmlformats.org/drawingml/2006/picture">
                <pic:pic>
                  <pic:nvPicPr>
                    <pic:cNvPr id="0" name="88_vs_201_totSales_assessment.png"/>
                    <pic:cNvPicPr/>
                  </pic:nvPicPr>
                  <pic:blipFill>
                    <a:blip r:embed="rId24"/>
                    <a:stretch>
                      <a:fillRect/>
                    </a:stretch>
                  </pic:blipFill>
                  <pic:spPr>
                    <a:xfrm>
                      <a:off x="0" y="0"/>
                      <a:ext cx="4846320" cy="2379510"/>
                    </a:xfrm>
                    <a:prstGeom prst="rect"/>
                  </pic:spPr>
                </pic:pic>
              </a:graphicData>
            </a:graphic>
          </wp:inline>
        </w:drawing>
      </w:r>
    </w:p>
    <w:p>
      <w:pPr>
        <w:jc w:val="center"/>
      </w:pPr>
      <w:r>
        <w:rPr>
          <w:i/>
          <w:color w:val="666666"/>
          <w:sz w:val="18"/>
        </w:rPr>
        <w:t>Assessment: Total Sales ($) — Trial 88 vs Control 201</w:t>
      </w:r>
    </w:p>
    <w:p/>
    <w:p>
      <w:pPr>
        <w:pStyle w:val="Heading3"/>
      </w:pPr>
      <w:r>
        <w:rPr>
          <w:color w:val="1D3557"/>
        </w:rPr>
        <w:t>Number of Customers</w:t>
      </w:r>
    </w:p>
    <w:p>
      <w:pPr>
        <w:jc w:val="center"/>
      </w:pPr>
      <w:r>
        <w:drawing>
          <wp:inline xmlns:a="http://schemas.openxmlformats.org/drawingml/2006/main" xmlns:pic="http://schemas.openxmlformats.org/drawingml/2006/picture">
            <wp:extent cx="4846320" cy="2373808"/>
            <wp:docPr id="42" name="Picture 42"/>
            <wp:cNvGraphicFramePr>
              <a:graphicFrameLocks noChangeAspect="1"/>
            </wp:cNvGraphicFramePr>
            <a:graphic>
              <a:graphicData uri="http://schemas.openxmlformats.org/drawingml/2006/picture">
                <pic:pic>
                  <pic:nvPicPr>
                    <pic:cNvPr id="0" name="88_vs_201_nCustomers_validation.png"/>
                    <pic:cNvPicPr/>
                  </pic:nvPicPr>
                  <pic:blipFill>
                    <a:blip r:embed="rId16"/>
                    <a:stretch>
                      <a:fillRect/>
                    </a:stretch>
                  </pic:blipFill>
                  <pic:spPr>
                    <a:xfrm>
                      <a:off x="0" y="0"/>
                      <a:ext cx="4846320" cy="2373808"/>
                    </a:xfrm>
                    <a:prstGeom prst="rect"/>
                  </pic:spPr>
                </pic:pic>
              </a:graphicData>
            </a:graphic>
          </wp:inline>
        </w:drawing>
      </w:r>
    </w:p>
    <w:p>
      <w:pPr>
        <w:jc w:val="center"/>
      </w:pPr>
      <w:r>
        <w:rPr>
          <w:i/>
          <w:color w:val="666666"/>
          <w:sz w:val="18"/>
        </w:rPr>
        <w:t>Validation: Number of Customers — Trial 88 vs Control 201</w:t>
      </w:r>
    </w:p>
    <w:p>
      <w:pPr>
        <w:jc w:val="center"/>
      </w:pPr>
      <w:r>
        <w:drawing>
          <wp:inline xmlns:a="http://schemas.openxmlformats.org/drawingml/2006/main" xmlns:pic="http://schemas.openxmlformats.org/drawingml/2006/picture">
            <wp:extent cx="4846320" cy="2380609"/>
            <wp:docPr id="43" name="Picture 43"/>
            <wp:cNvGraphicFramePr>
              <a:graphicFrameLocks noChangeAspect="1"/>
            </wp:cNvGraphicFramePr>
            <a:graphic>
              <a:graphicData uri="http://schemas.openxmlformats.org/drawingml/2006/picture">
                <pic:pic>
                  <pic:nvPicPr>
                    <pic:cNvPr id="0" name="88_vs_201_nCustomers_assessment.png"/>
                    <pic:cNvPicPr/>
                  </pic:nvPicPr>
                  <pic:blipFill>
                    <a:blip r:embed="rId25"/>
                    <a:stretch>
                      <a:fillRect/>
                    </a:stretch>
                  </pic:blipFill>
                  <pic:spPr>
                    <a:xfrm>
                      <a:off x="0" y="0"/>
                      <a:ext cx="4846320" cy="2380609"/>
                    </a:xfrm>
                    <a:prstGeom prst="rect"/>
                  </pic:spPr>
                </pic:pic>
              </a:graphicData>
            </a:graphic>
          </wp:inline>
        </w:drawing>
      </w:r>
    </w:p>
    <w:p>
      <w:pPr>
        <w:jc w:val="center"/>
      </w:pPr>
      <w:r>
        <w:rPr>
          <w:i/>
          <w:color w:val="666666"/>
          <w:sz w:val="18"/>
        </w:rPr>
        <w:t>Assessment: Number of Customers — Trial 88 vs Control 201</w:t>
      </w:r>
    </w:p>
    <w:p/>
    <w:p>
      <w:pPr>
        <w:pStyle w:val="Heading3"/>
      </w:pPr>
      <w:r>
        <w:rPr>
          <w:color w:val="1D3557"/>
        </w:rPr>
        <w:t>Transactions per Customer</w:t>
      </w:r>
    </w:p>
    <w:p>
      <w:pPr>
        <w:jc w:val="center"/>
      </w:pPr>
      <w:r>
        <w:drawing>
          <wp:inline xmlns:a="http://schemas.openxmlformats.org/drawingml/2006/main" xmlns:pic="http://schemas.openxmlformats.org/drawingml/2006/picture">
            <wp:extent cx="4846320" cy="2373808"/>
            <wp:docPr id="44" name="Picture 44"/>
            <wp:cNvGraphicFramePr>
              <a:graphicFrameLocks noChangeAspect="1"/>
            </wp:cNvGraphicFramePr>
            <a:graphic>
              <a:graphicData uri="http://schemas.openxmlformats.org/drawingml/2006/picture">
                <pic:pic>
                  <pic:nvPicPr>
                    <pic:cNvPr id="0" name="88_vs_201_nTxnPerCust_validation.png"/>
                    <pic:cNvPicPr/>
                  </pic:nvPicPr>
                  <pic:blipFill>
                    <a:blip r:embed="rId17"/>
                    <a:stretch>
                      <a:fillRect/>
                    </a:stretch>
                  </pic:blipFill>
                  <pic:spPr>
                    <a:xfrm>
                      <a:off x="0" y="0"/>
                      <a:ext cx="4846320" cy="2373808"/>
                    </a:xfrm>
                    <a:prstGeom prst="rect"/>
                  </pic:spPr>
                </pic:pic>
              </a:graphicData>
            </a:graphic>
          </wp:inline>
        </w:drawing>
      </w:r>
    </w:p>
    <w:p>
      <w:pPr>
        <w:jc w:val="center"/>
      </w:pPr>
      <w:r>
        <w:rPr>
          <w:i/>
          <w:color w:val="666666"/>
          <w:sz w:val="18"/>
        </w:rPr>
        <w:t>Validation: Transactions per Customer — Trial 88 vs Control 201</w:t>
      </w:r>
    </w:p>
    <w:p>
      <w:pPr>
        <w:jc w:val="center"/>
      </w:pPr>
      <w:r>
        <w:drawing>
          <wp:inline xmlns:a="http://schemas.openxmlformats.org/drawingml/2006/main" xmlns:pic="http://schemas.openxmlformats.org/drawingml/2006/picture">
            <wp:extent cx="4846320" cy="2380609"/>
            <wp:docPr id="45" name="Picture 45"/>
            <wp:cNvGraphicFramePr>
              <a:graphicFrameLocks noChangeAspect="1"/>
            </wp:cNvGraphicFramePr>
            <a:graphic>
              <a:graphicData uri="http://schemas.openxmlformats.org/drawingml/2006/picture">
                <pic:pic>
                  <pic:nvPicPr>
                    <pic:cNvPr id="0" name="88_vs_201_nTxnPerCust_assessment.png"/>
                    <pic:cNvPicPr/>
                  </pic:nvPicPr>
                  <pic:blipFill>
                    <a:blip r:embed="rId26"/>
                    <a:stretch>
                      <a:fillRect/>
                    </a:stretch>
                  </pic:blipFill>
                  <pic:spPr>
                    <a:xfrm>
                      <a:off x="0" y="0"/>
                      <a:ext cx="4846320" cy="2380609"/>
                    </a:xfrm>
                    <a:prstGeom prst="rect"/>
                  </pic:spPr>
                </pic:pic>
              </a:graphicData>
            </a:graphic>
          </wp:inline>
        </w:drawing>
      </w:r>
    </w:p>
    <w:p>
      <w:pPr>
        <w:jc w:val="center"/>
      </w:pPr>
      <w:r>
        <w:rPr>
          <w:i/>
          <w:color w:val="666666"/>
          <w:sz w:val="18"/>
        </w:rPr>
        <w:t>Assessment: Transactions per Customer — Trial 88 vs Control 201</w:t>
      </w:r>
    </w:p>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