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7494D" w14:textId="77777777" w:rsidR="00951530" w:rsidRPr="00951530" w:rsidRDefault="00951530" w:rsidP="00951530">
      <w:r w:rsidRPr="00951530">
        <w:rPr>
          <w:b/>
          <w:bCs/>
        </w:rPr>
        <w:t>Final Report: Logistic Regression vs Decision Tree vs KNN on the Iris Dataset</w:t>
      </w:r>
    </w:p>
    <w:p w14:paraId="3A740DD4" w14:textId="77777777" w:rsidR="00951530" w:rsidRPr="00951530" w:rsidRDefault="00951530" w:rsidP="00951530">
      <w:r w:rsidRPr="00951530">
        <w:rPr>
          <w:b/>
          <w:bCs/>
        </w:rPr>
        <w:t>Introduction</w:t>
      </w:r>
    </w:p>
    <w:p w14:paraId="1143455A" w14:textId="77777777" w:rsidR="00951530" w:rsidRPr="00951530" w:rsidRDefault="00951530" w:rsidP="00951530">
      <w:r w:rsidRPr="00951530">
        <w:t>This report presents the implementation and evaluation of three machine learning classification algorithms – Logistic Regression, Decision Tree, and K-Nearest Neighbors (KNN) – using the Iris dataset. The dataset consists of 150 rows, with four feature columns representing sepal and petal measurements of the iris plant, and a target column indicating the species (Setosa, Versicolor, Virginica). The data is balanced, with 50 samples per class, and contains no missing or inconsistent values.</w:t>
      </w:r>
    </w:p>
    <w:p w14:paraId="5CC83E2C" w14:textId="77777777" w:rsidR="00951530" w:rsidRPr="00951530" w:rsidRDefault="00951530" w:rsidP="00951530">
      <w:r w:rsidRPr="00951530">
        <w:rPr>
          <w:b/>
          <w:bCs/>
        </w:rPr>
        <w:t>Dataset Insights</w:t>
      </w:r>
    </w:p>
    <w:p w14:paraId="09060BD5" w14:textId="77777777" w:rsidR="00951530" w:rsidRPr="00951530" w:rsidRDefault="00951530" w:rsidP="00951530">
      <w:pPr>
        <w:numPr>
          <w:ilvl w:val="0"/>
          <w:numId w:val="1"/>
        </w:numPr>
      </w:pPr>
      <w:r w:rsidRPr="00951530">
        <w:rPr>
          <w:b/>
          <w:bCs/>
        </w:rPr>
        <w:t>Features</w:t>
      </w:r>
      <w:r w:rsidRPr="00951530">
        <w:t>: Four numerical measurements (sepal length, sepal width, petal length, petal width).</w:t>
      </w:r>
    </w:p>
    <w:p w14:paraId="4800A8CB" w14:textId="77777777" w:rsidR="00951530" w:rsidRPr="00951530" w:rsidRDefault="00951530" w:rsidP="00951530">
      <w:pPr>
        <w:numPr>
          <w:ilvl w:val="0"/>
          <w:numId w:val="1"/>
        </w:numPr>
      </w:pPr>
      <w:r w:rsidRPr="00951530">
        <w:rPr>
          <w:b/>
          <w:bCs/>
        </w:rPr>
        <w:t>Target</w:t>
      </w:r>
      <w:r w:rsidRPr="00951530">
        <w:t>: Three species of Iris plants (Setosa, Versicolor, Virginica).</w:t>
      </w:r>
    </w:p>
    <w:p w14:paraId="5C585959" w14:textId="77777777" w:rsidR="00951530" w:rsidRPr="00951530" w:rsidRDefault="00951530" w:rsidP="00951530">
      <w:pPr>
        <w:numPr>
          <w:ilvl w:val="0"/>
          <w:numId w:val="1"/>
        </w:numPr>
      </w:pPr>
      <w:r w:rsidRPr="00951530">
        <w:rPr>
          <w:b/>
          <w:bCs/>
        </w:rPr>
        <w:t>Balance</w:t>
      </w:r>
      <w:r w:rsidRPr="00951530">
        <w:t>: Equal representation of 50 samples for each species.</w:t>
      </w:r>
    </w:p>
    <w:p w14:paraId="730860C1" w14:textId="317F62D3" w:rsidR="00951530" w:rsidRPr="00951530" w:rsidRDefault="00951530" w:rsidP="00951530">
      <w:pPr>
        <w:numPr>
          <w:ilvl w:val="0"/>
          <w:numId w:val="1"/>
        </w:numPr>
      </w:pPr>
      <w:r w:rsidRPr="00951530">
        <w:rPr>
          <w:b/>
          <w:bCs/>
        </w:rPr>
        <w:t>Data Quality</w:t>
      </w:r>
      <w:r w:rsidRPr="00951530">
        <w:t>: No missing data, no outliers, and no inconsistencies.</w:t>
      </w:r>
    </w:p>
    <w:p w14:paraId="7A8A267A" w14:textId="77777777" w:rsidR="00951530" w:rsidRPr="00951530" w:rsidRDefault="00951530" w:rsidP="00951530">
      <w:r w:rsidRPr="00951530">
        <w:rPr>
          <w:b/>
          <w:bCs/>
        </w:rPr>
        <w:t>Model Training and Evaluation</w:t>
      </w:r>
    </w:p>
    <w:p w14:paraId="20F31F5E" w14:textId="77777777" w:rsidR="00951530" w:rsidRDefault="00951530" w:rsidP="00951530">
      <w:r w:rsidRPr="00951530">
        <w:t>Each model was trained on 80% of the dataset and tested on the remaining 20%. Key metrics used for evaluation include accuracy, precision, recall, and F1-score. These metrics remain consistent due to the balanced nature of the dataset.</w:t>
      </w:r>
    </w:p>
    <w:p w14:paraId="53590AF7" w14:textId="77777777" w:rsidR="00951530" w:rsidRPr="00951530" w:rsidRDefault="00951530" w:rsidP="00951530"/>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5"/>
        <w:gridCol w:w="1912"/>
        <w:gridCol w:w="1821"/>
        <w:gridCol w:w="30"/>
        <w:gridCol w:w="3612"/>
      </w:tblGrid>
      <w:tr w:rsidR="00951530" w:rsidRPr="00951530" w14:paraId="1DCCC543" w14:textId="77777777" w:rsidTr="00951530">
        <w:trPr>
          <w:tblCellSpacing w:w="15" w:type="dxa"/>
        </w:trPr>
        <w:tc>
          <w:tcPr>
            <w:tcW w:w="1930" w:type="dxa"/>
            <w:vAlign w:val="center"/>
            <w:hideMark/>
          </w:tcPr>
          <w:p w14:paraId="2A07152B" w14:textId="77777777" w:rsidR="00951530" w:rsidRPr="00951530" w:rsidRDefault="00951530" w:rsidP="00951530">
            <w:pPr>
              <w:rPr>
                <w:b/>
                <w:bCs/>
              </w:rPr>
            </w:pPr>
            <w:r w:rsidRPr="00951530">
              <w:rPr>
                <w:b/>
                <w:bCs/>
              </w:rPr>
              <w:t>Metric</w:t>
            </w:r>
          </w:p>
        </w:tc>
        <w:tc>
          <w:tcPr>
            <w:tcW w:w="1882" w:type="dxa"/>
            <w:vAlign w:val="center"/>
            <w:hideMark/>
          </w:tcPr>
          <w:p w14:paraId="6CC3D90D" w14:textId="77777777" w:rsidR="00951530" w:rsidRPr="00951530" w:rsidRDefault="00951530" w:rsidP="00951530">
            <w:pPr>
              <w:jc w:val="center"/>
              <w:rPr>
                <w:b/>
                <w:bCs/>
              </w:rPr>
            </w:pPr>
            <w:r w:rsidRPr="00951530">
              <w:rPr>
                <w:b/>
                <w:bCs/>
              </w:rPr>
              <w:t>Logistic Regression</w:t>
            </w:r>
          </w:p>
        </w:tc>
        <w:tc>
          <w:tcPr>
            <w:tcW w:w="2558" w:type="dxa"/>
            <w:gridSpan w:val="2"/>
            <w:vAlign w:val="center"/>
            <w:hideMark/>
          </w:tcPr>
          <w:p w14:paraId="306ABE09" w14:textId="77777777" w:rsidR="00951530" w:rsidRPr="00951530" w:rsidRDefault="00951530" w:rsidP="00951530">
            <w:pPr>
              <w:jc w:val="center"/>
              <w:rPr>
                <w:b/>
                <w:bCs/>
              </w:rPr>
            </w:pPr>
            <w:r w:rsidRPr="00951530">
              <w:rPr>
                <w:b/>
                <w:bCs/>
              </w:rPr>
              <w:t>Decision Tree</w:t>
            </w:r>
          </w:p>
        </w:tc>
        <w:tc>
          <w:tcPr>
            <w:tcW w:w="2565" w:type="dxa"/>
            <w:vAlign w:val="center"/>
            <w:hideMark/>
          </w:tcPr>
          <w:p w14:paraId="0A0931EB" w14:textId="77777777" w:rsidR="00951530" w:rsidRPr="00951530" w:rsidRDefault="00951530" w:rsidP="00951530">
            <w:pPr>
              <w:jc w:val="center"/>
              <w:rPr>
                <w:b/>
                <w:bCs/>
              </w:rPr>
            </w:pPr>
            <w:r w:rsidRPr="00951530">
              <w:rPr>
                <w:b/>
                <w:bCs/>
              </w:rPr>
              <w:t>K-Nearest Neighbors</w:t>
            </w:r>
          </w:p>
        </w:tc>
      </w:tr>
      <w:tr w:rsidR="00951530" w:rsidRPr="00951530" w14:paraId="78E44D26" w14:textId="77777777" w:rsidTr="00951530">
        <w:trPr>
          <w:tblCellSpacing w:w="15" w:type="dxa"/>
        </w:trPr>
        <w:tc>
          <w:tcPr>
            <w:tcW w:w="1930" w:type="dxa"/>
            <w:vAlign w:val="center"/>
            <w:hideMark/>
          </w:tcPr>
          <w:p w14:paraId="53B85A5B" w14:textId="77777777" w:rsidR="00951530" w:rsidRPr="00951530" w:rsidRDefault="00951530" w:rsidP="00951530">
            <w:r w:rsidRPr="00951530">
              <w:rPr>
                <w:b/>
                <w:bCs/>
              </w:rPr>
              <w:t>Train Accuracy</w:t>
            </w:r>
          </w:p>
        </w:tc>
        <w:tc>
          <w:tcPr>
            <w:tcW w:w="1882" w:type="dxa"/>
            <w:vAlign w:val="center"/>
            <w:hideMark/>
          </w:tcPr>
          <w:p w14:paraId="626F25AE" w14:textId="77777777" w:rsidR="00951530" w:rsidRPr="00951530" w:rsidRDefault="00951530" w:rsidP="00951530">
            <w:pPr>
              <w:jc w:val="center"/>
            </w:pPr>
            <w:r w:rsidRPr="00951530">
              <w:t>0.9583</w:t>
            </w:r>
          </w:p>
        </w:tc>
        <w:tc>
          <w:tcPr>
            <w:tcW w:w="0" w:type="auto"/>
            <w:vAlign w:val="center"/>
            <w:hideMark/>
          </w:tcPr>
          <w:p w14:paraId="5D056F22" w14:textId="77777777" w:rsidR="00951530" w:rsidRPr="00951530" w:rsidRDefault="00951530" w:rsidP="00951530">
            <w:pPr>
              <w:jc w:val="center"/>
            </w:pPr>
            <w:r w:rsidRPr="00951530">
              <w:rPr>
                <w:b/>
                <w:bCs/>
              </w:rPr>
              <w:t>0.9833</w:t>
            </w:r>
          </w:p>
        </w:tc>
        <w:tc>
          <w:tcPr>
            <w:tcW w:w="3597" w:type="dxa"/>
            <w:gridSpan w:val="2"/>
            <w:vAlign w:val="center"/>
            <w:hideMark/>
          </w:tcPr>
          <w:p w14:paraId="34854CE9" w14:textId="77777777" w:rsidR="00951530" w:rsidRPr="00951530" w:rsidRDefault="00951530" w:rsidP="00951530">
            <w:pPr>
              <w:jc w:val="center"/>
            </w:pPr>
            <w:r w:rsidRPr="00951530">
              <w:t>0.9583</w:t>
            </w:r>
          </w:p>
        </w:tc>
      </w:tr>
      <w:tr w:rsidR="00951530" w:rsidRPr="00951530" w14:paraId="18DCE9F1" w14:textId="77777777" w:rsidTr="00951530">
        <w:trPr>
          <w:tblCellSpacing w:w="15" w:type="dxa"/>
        </w:trPr>
        <w:tc>
          <w:tcPr>
            <w:tcW w:w="1930" w:type="dxa"/>
            <w:vAlign w:val="center"/>
            <w:hideMark/>
          </w:tcPr>
          <w:p w14:paraId="6970A815" w14:textId="77777777" w:rsidR="00951530" w:rsidRPr="00951530" w:rsidRDefault="00951530" w:rsidP="00951530">
            <w:r w:rsidRPr="00951530">
              <w:rPr>
                <w:b/>
                <w:bCs/>
              </w:rPr>
              <w:t>Test Accuracy</w:t>
            </w:r>
          </w:p>
        </w:tc>
        <w:tc>
          <w:tcPr>
            <w:tcW w:w="1882" w:type="dxa"/>
            <w:vAlign w:val="center"/>
            <w:hideMark/>
          </w:tcPr>
          <w:p w14:paraId="21ED2272" w14:textId="77777777" w:rsidR="00951530" w:rsidRPr="00951530" w:rsidRDefault="00951530" w:rsidP="00951530">
            <w:pPr>
              <w:jc w:val="center"/>
            </w:pPr>
            <w:r w:rsidRPr="00951530">
              <w:t>0.9333</w:t>
            </w:r>
          </w:p>
        </w:tc>
        <w:tc>
          <w:tcPr>
            <w:tcW w:w="0" w:type="auto"/>
            <w:vAlign w:val="center"/>
            <w:hideMark/>
          </w:tcPr>
          <w:p w14:paraId="214F29B6" w14:textId="77777777" w:rsidR="00951530" w:rsidRPr="00951530" w:rsidRDefault="00951530" w:rsidP="00951530">
            <w:pPr>
              <w:jc w:val="center"/>
            </w:pPr>
            <w:r w:rsidRPr="00951530">
              <w:rPr>
                <w:b/>
                <w:bCs/>
              </w:rPr>
              <w:t>0.9667</w:t>
            </w:r>
          </w:p>
        </w:tc>
        <w:tc>
          <w:tcPr>
            <w:tcW w:w="3597" w:type="dxa"/>
            <w:gridSpan w:val="2"/>
            <w:vAlign w:val="center"/>
            <w:hideMark/>
          </w:tcPr>
          <w:p w14:paraId="74FFEABA" w14:textId="77777777" w:rsidR="00951530" w:rsidRPr="00951530" w:rsidRDefault="00951530" w:rsidP="00951530">
            <w:pPr>
              <w:jc w:val="center"/>
            </w:pPr>
            <w:r w:rsidRPr="00951530">
              <w:rPr>
                <w:b/>
                <w:bCs/>
              </w:rPr>
              <w:t>0.9667</w:t>
            </w:r>
          </w:p>
        </w:tc>
      </w:tr>
      <w:tr w:rsidR="00951530" w:rsidRPr="00951530" w14:paraId="0251B1E6" w14:textId="77777777" w:rsidTr="00951530">
        <w:trPr>
          <w:tblCellSpacing w:w="15" w:type="dxa"/>
        </w:trPr>
        <w:tc>
          <w:tcPr>
            <w:tcW w:w="1930" w:type="dxa"/>
            <w:vAlign w:val="center"/>
            <w:hideMark/>
          </w:tcPr>
          <w:p w14:paraId="6E078C81" w14:textId="77777777" w:rsidR="00951530" w:rsidRPr="00951530" w:rsidRDefault="00951530" w:rsidP="00951530">
            <w:r w:rsidRPr="00951530">
              <w:rPr>
                <w:b/>
                <w:bCs/>
              </w:rPr>
              <w:t>Train F1 Score</w:t>
            </w:r>
          </w:p>
        </w:tc>
        <w:tc>
          <w:tcPr>
            <w:tcW w:w="1882" w:type="dxa"/>
            <w:vAlign w:val="center"/>
            <w:hideMark/>
          </w:tcPr>
          <w:p w14:paraId="32A6156B" w14:textId="77777777" w:rsidR="00951530" w:rsidRPr="00951530" w:rsidRDefault="00951530" w:rsidP="00951530">
            <w:pPr>
              <w:jc w:val="center"/>
            </w:pPr>
            <w:r w:rsidRPr="00951530">
              <w:t>0.9583</w:t>
            </w:r>
          </w:p>
        </w:tc>
        <w:tc>
          <w:tcPr>
            <w:tcW w:w="0" w:type="auto"/>
            <w:vAlign w:val="center"/>
            <w:hideMark/>
          </w:tcPr>
          <w:p w14:paraId="28907AB8" w14:textId="77777777" w:rsidR="00951530" w:rsidRPr="00951530" w:rsidRDefault="00951530" w:rsidP="00951530">
            <w:pPr>
              <w:jc w:val="center"/>
            </w:pPr>
            <w:r w:rsidRPr="00951530">
              <w:rPr>
                <w:b/>
                <w:bCs/>
              </w:rPr>
              <w:t>0.9833</w:t>
            </w:r>
          </w:p>
        </w:tc>
        <w:tc>
          <w:tcPr>
            <w:tcW w:w="3597" w:type="dxa"/>
            <w:gridSpan w:val="2"/>
            <w:vAlign w:val="center"/>
            <w:hideMark/>
          </w:tcPr>
          <w:p w14:paraId="49C0BE4F" w14:textId="77777777" w:rsidR="00951530" w:rsidRPr="00951530" w:rsidRDefault="00951530" w:rsidP="00951530">
            <w:pPr>
              <w:jc w:val="center"/>
            </w:pPr>
            <w:r w:rsidRPr="00951530">
              <w:t>0.9583</w:t>
            </w:r>
          </w:p>
        </w:tc>
      </w:tr>
      <w:tr w:rsidR="00951530" w:rsidRPr="00951530" w14:paraId="568812FF" w14:textId="77777777" w:rsidTr="00951530">
        <w:trPr>
          <w:tblCellSpacing w:w="15" w:type="dxa"/>
        </w:trPr>
        <w:tc>
          <w:tcPr>
            <w:tcW w:w="1930" w:type="dxa"/>
            <w:vAlign w:val="center"/>
            <w:hideMark/>
          </w:tcPr>
          <w:p w14:paraId="132265D3" w14:textId="77777777" w:rsidR="00951530" w:rsidRPr="00951530" w:rsidRDefault="00951530" w:rsidP="00951530">
            <w:r w:rsidRPr="00951530">
              <w:rPr>
                <w:b/>
                <w:bCs/>
              </w:rPr>
              <w:t>Test F1 Score</w:t>
            </w:r>
          </w:p>
        </w:tc>
        <w:tc>
          <w:tcPr>
            <w:tcW w:w="1882" w:type="dxa"/>
            <w:vAlign w:val="center"/>
            <w:hideMark/>
          </w:tcPr>
          <w:p w14:paraId="29A91C02" w14:textId="77777777" w:rsidR="00951530" w:rsidRPr="00951530" w:rsidRDefault="00951530" w:rsidP="00951530">
            <w:pPr>
              <w:jc w:val="center"/>
            </w:pPr>
            <w:r w:rsidRPr="00951530">
              <w:t>0.9333</w:t>
            </w:r>
          </w:p>
        </w:tc>
        <w:tc>
          <w:tcPr>
            <w:tcW w:w="0" w:type="auto"/>
            <w:vAlign w:val="center"/>
            <w:hideMark/>
          </w:tcPr>
          <w:p w14:paraId="57A446BA" w14:textId="77777777" w:rsidR="00951530" w:rsidRPr="00951530" w:rsidRDefault="00951530" w:rsidP="00951530">
            <w:pPr>
              <w:jc w:val="center"/>
            </w:pPr>
            <w:r w:rsidRPr="00951530">
              <w:rPr>
                <w:b/>
                <w:bCs/>
              </w:rPr>
              <w:t>0.9666</w:t>
            </w:r>
          </w:p>
        </w:tc>
        <w:tc>
          <w:tcPr>
            <w:tcW w:w="3597" w:type="dxa"/>
            <w:gridSpan w:val="2"/>
            <w:vAlign w:val="center"/>
            <w:hideMark/>
          </w:tcPr>
          <w:p w14:paraId="543A2AC8" w14:textId="77777777" w:rsidR="00951530" w:rsidRPr="00951530" w:rsidRDefault="00951530" w:rsidP="00951530">
            <w:pPr>
              <w:jc w:val="center"/>
            </w:pPr>
            <w:r w:rsidRPr="00951530">
              <w:rPr>
                <w:b/>
                <w:bCs/>
              </w:rPr>
              <w:t>0.9666</w:t>
            </w:r>
          </w:p>
        </w:tc>
      </w:tr>
      <w:tr w:rsidR="00951530" w:rsidRPr="00951530" w14:paraId="6DB8F886" w14:textId="77777777" w:rsidTr="00951530">
        <w:trPr>
          <w:tblCellSpacing w:w="15" w:type="dxa"/>
        </w:trPr>
        <w:tc>
          <w:tcPr>
            <w:tcW w:w="1930" w:type="dxa"/>
            <w:vAlign w:val="center"/>
            <w:hideMark/>
          </w:tcPr>
          <w:p w14:paraId="3D4DA065" w14:textId="77777777" w:rsidR="00951530" w:rsidRPr="00951530" w:rsidRDefault="00951530" w:rsidP="00951530">
            <w:r w:rsidRPr="00951530">
              <w:rPr>
                <w:b/>
                <w:bCs/>
              </w:rPr>
              <w:t>Train Precision</w:t>
            </w:r>
          </w:p>
        </w:tc>
        <w:tc>
          <w:tcPr>
            <w:tcW w:w="1882" w:type="dxa"/>
            <w:vAlign w:val="center"/>
            <w:hideMark/>
          </w:tcPr>
          <w:p w14:paraId="660F21C6" w14:textId="77777777" w:rsidR="00951530" w:rsidRPr="00951530" w:rsidRDefault="00951530" w:rsidP="00951530">
            <w:pPr>
              <w:jc w:val="center"/>
            </w:pPr>
            <w:r w:rsidRPr="00951530">
              <w:t>0.9585</w:t>
            </w:r>
          </w:p>
        </w:tc>
        <w:tc>
          <w:tcPr>
            <w:tcW w:w="0" w:type="auto"/>
            <w:vAlign w:val="center"/>
            <w:hideMark/>
          </w:tcPr>
          <w:p w14:paraId="6D8F9606" w14:textId="77777777" w:rsidR="00951530" w:rsidRPr="00951530" w:rsidRDefault="00951530" w:rsidP="00951530">
            <w:pPr>
              <w:jc w:val="center"/>
            </w:pPr>
            <w:r w:rsidRPr="00951530">
              <w:rPr>
                <w:b/>
                <w:bCs/>
              </w:rPr>
              <w:t>0.9841</w:t>
            </w:r>
          </w:p>
        </w:tc>
        <w:tc>
          <w:tcPr>
            <w:tcW w:w="3597" w:type="dxa"/>
            <w:gridSpan w:val="2"/>
            <w:vAlign w:val="center"/>
            <w:hideMark/>
          </w:tcPr>
          <w:p w14:paraId="387B5001" w14:textId="77777777" w:rsidR="00951530" w:rsidRPr="00951530" w:rsidRDefault="00951530" w:rsidP="00951530">
            <w:pPr>
              <w:jc w:val="center"/>
            </w:pPr>
            <w:r w:rsidRPr="00951530">
              <w:t>0.9600</w:t>
            </w:r>
          </w:p>
        </w:tc>
      </w:tr>
      <w:tr w:rsidR="00951530" w:rsidRPr="00951530" w14:paraId="27929902" w14:textId="77777777" w:rsidTr="00951530">
        <w:trPr>
          <w:tblCellSpacing w:w="15" w:type="dxa"/>
        </w:trPr>
        <w:tc>
          <w:tcPr>
            <w:tcW w:w="1930" w:type="dxa"/>
            <w:vAlign w:val="center"/>
            <w:hideMark/>
          </w:tcPr>
          <w:p w14:paraId="6C23156D" w14:textId="77777777" w:rsidR="00951530" w:rsidRPr="00951530" w:rsidRDefault="00951530" w:rsidP="00951530">
            <w:r w:rsidRPr="00951530">
              <w:rPr>
                <w:b/>
                <w:bCs/>
              </w:rPr>
              <w:t>Test Precision</w:t>
            </w:r>
          </w:p>
        </w:tc>
        <w:tc>
          <w:tcPr>
            <w:tcW w:w="1882" w:type="dxa"/>
            <w:vAlign w:val="center"/>
            <w:hideMark/>
          </w:tcPr>
          <w:p w14:paraId="18F9F468" w14:textId="77777777" w:rsidR="00951530" w:rsidRPr="00951530" w:rsidRDefault="00951530" w:rsidP="00951530">
            <w:pPr>
              <w:jc w:val="center"/>
            </w:pPr>
            <w:r w:rsidRPr="00951530">
              <w:t>0.9333</w:t>
            </w:r>
          </w:p>
        </w:tc>
        <w:tc>
          <w:tcPr>
            <w:tcW w:w="0" w:type="auto"/>
            <w:vAlign w:val="center"/>
            <w:hideMark/>
          </w:tcPr>
          <w:p w14:paraId="4821EC5C" w14:textId="77777777" w:rsidR="00951530" w:rsidRPr="00951530" w:rsidRDefault="00951530" w:rsidP="00951530">
            <w:pPr>
              <w:jc w:val="center"/>
            </w:pPr>
            <w:r w:rsidRPr="00951530">
              <w:rPr>
                <w:b/>
                <w:bCs/>
              </w:rPr>
              <w:t>0.9697</w:t>
            </w:r>
          </w:p>
        </w:tc>
        <w:tc>
          <w:tcPr>
            <w:tcW w:w="3597" w:type="dxa"/>
            <w:gridSpan w:val="2"/>
            <w:vAlign w:val="center"/>
            <w:hideMark/>
          </w:tcPr>
          <w:p w14:paraId="58755033" w14:textId="77777777" w:rsidR="00951530" w:rsidRPr="00951530" w:rsidRDefault="00951530" w:rsidP="00951530">
            <w:pPr>
              <w:jc w:val="center"/>
            </w:pPr>
            <w:r w:rsidRPr="00951530">
              <w:rPr>
                <w:b/>
                <w:bCs/>
              </w:rPr>
              <w:t>0.9697</w:t>
            </w:r>
          </w:p>
        </w:tc>
      </w:tr>
      <w:tr w:rsidR="00951530" w:rsidRPr="00951530" w14:paraId="6B33E6BE" w14:textId="77777777" w:rsidTr="00951530">
        <w:trPr>
          <w:tblCellSpacing w:w="15" w:type="dxa"/>
        </w:trPr>
        <w:tc>
          <w:tcPr>
            <w:tcW w:w="1930" w:type="dxa"/>
            <w:vAlign w:val="center"/>
            <w:hideMark/>
          </w:tcPr>
          <w:p w14:paraId="3E04AB75" w14:textId="77777777" w:rsidR="00951530" w:rsidRPr="00951530" w:rsidRDefault="00951530" w:rsidP="00951530">
            <w:r w:rsidRPr="00951530">
              <w:rPr>
                <w:b/>
                <w:bCs/>
              </w:rPr>
              <w:lastRenderedPageBreak/>
              <w:t>Train Recall</w:t>
            </w:r>
          </w:p>
        </w:tc>
        <w:tc>
          <w:tcPr>
            <w:tcW w:w="1882" w:type="dxa"/>
            <w:vAlign w:val="center"/>
            <w:hideMark/>
          </w:tcPr>
          <w:p w14:paraId="54327727" w14:textId="77777777" w:rsidR="00951530" w:rsidRPr="00951530" w:rsidRDefault="00951530" w:rsidP="00951530">
            <w:r w:rsidRPr="00951530">
              <w:t>0.9583</w:t>
            </w:r>
          </w:p>
        </w:tc>
        <w:tc>
          <w:tcPr>
            <w:tcW w:w="0" w:type="auto"/>
            <w:vAlign w:val="center"/>
            <w:hideMark/>
          </w:tcPr>
          <w:p w14:paraId="2F11F03B" w14:textId="77777777" w:rsidR="00951530" w:rsidRPr="00951530" w:rsidRDefault="00951530" w:rsidP="00951530">
            <w:r w:rsidRPr="00951530">
              <w:rPr>
                <w:b/>
                <w:bCs/>
              </w:rPr>
              <w:t>0.9833</w:t>
            </w:r>
          </w:p>
        </w:tc>
        <w:tc>
          <w:tcPr>
            <w:tcW w:w="3597" w:type="dxa"/>
            <w:gridSpan w:val="2"/>
            <w:vAlign w:val="center"/>
            <w:hideMark/>
          </w:tcPr>
          <w:p w14:paraId="5E39D1D6" w14:textId="77777777" w:rsidR="00951530" w:rsidRPr="00951530" w:rsidRDefault="00951530" w:rsidP="00951530">
            <w:r w:rsidRPr="00951530">
              <w:t>0.9583</w:t>
            </w:r>
          </w:p>
        </w:tc>
      </w:tr>
      <w:tr w:rsidR="00951530" w:rsidRPr="00951530" w14:paraId="307A9878" w14:textId="77777777" w:rsidTr="00951530">
        <w:trPr>
          <w:tblCellSpacing w:w="15" w:type="dxa"/>
        </w:trPr>
        <w:tc>
          <w:tcPr>
            <w:tcW w:w="1930" w:type="dxa"/>
            <w:vAlign w:val="center"/>
            <w:hideMark/>
          </w:tcPr>
          <w:p w14:paraId="4127E55C" w14:textId="77777777" w:rsidR="00951530" w:rsidRPr="00951530" w:rsidRDefault="00951530" w:rsidP="00951530">
            <w:r w:rsidRPr="00951530">
              <w:rPr>
                <w:b/>
                <w:bCs/>
              </w:rPr>
              <w:t>Test Recall</w:t>
            </w:r>
          </w:p>
        </w:tc>
        <w:tc>
          <w:tcPr>
            <w:tcW w:w="1882" w:type="dxa"/>
            <w:vAlign w:val="center"/>
            <w:hideMark/>
          </w:tcPr>
          <w:p w14:paraId="3296C846" w14:textId="77777777" w:rsidR="00951530" w:rsidRPr="00951530" w:rsidRDefault="00951530" w:rsidP="00951530">
            <w:r w:rsidRPr="00951530">
              <w:t>0.9333</w:t>
            </w:r>
          </w:p>
        </w:tc>
        <w:tc>
          <w:tcPr>
            <w:tcW w:w="0" w:type="auto"/>
            <w:vAlign w:val="center"/>
            <w:hideMark/>
          </w:tcPr>
          <w:p w14:paraId="5D8DF4B4" w14:textId="77777777" w:rsidR="00951530" w:rsidRPr="00951530" w:rsidRDefault="00951530" w:rsidP="00951530">
            <w:r w:rsidRPr="00951530">
              <w:rPr>
                <w:b/>
                <w:bCs/>
              </w:rPr>
              <w:t>0.9667</w:t>
            </w:r>
          </w:p>
        </w:tc>
        <w:tc>
          <w:tcPr>
            <w:tcW w:w="3597" w:type="dxa"/>
            <w:gridSpan w:val="2"/>
            <w:vAlign w:val="center"/>
            <w:hideMark/>
          </w:tcPr>
          <w:p w14:paraId="29F17DFA" w14:textId="77777777" w:rsidR="00951530" w:rsidRPr="00951530" w:rsidRDefault="00951530" w:rsidP="00951530">
            <w:r w:rsidRPr="00951530">
              <w:rPr>
                <w:b/>
                <w:bCs/>
              </w:rPr>
              <w:t>0.9667</w:t>
            </w:r>
          </w:p>
        </w:tc>
      </w:tr>
    </w:tbl>
    <w:p w14:paraId="6A37F35B" w14:textId="3AFFD2F8" w:rsidR="00951530" w:rsidRPr="00951530" w:rsidRDefault="00951530" w:rsidP="00951530">
      <w:r>
        <w:rPr>
          <w:b/>
          <w:bCs/>
        </w:rPr>
        <w:br/>
      </w:r>
      <w:r w:rsidRPr="00951530">
        <w:rPr>
          <w:b/>
          <w:bCs/>
        </w:rPr>
        <w:t>Insights and Observations</w:t>
      </w:r>
    </w:p>
    <w:p w14:paraId="7F7FD9FF" w14:textId="77777777" w:rsidR="00951530" w:rsidRPr="00951530" w:rsidRDefault="00951530" w:rsidP="00951530">
      <w:pPr>
        <w:numPr>
          <w:ilvl w:val="0"/>
          <w:numId w:val="2"/>
        </w:numPr>
      </w:pPr>
      <w:r w:rsidRPr="00951530">
        <w:rPr>
          <w:b/>
          <w:bCs/>
        </w:rPr>
        <w:t>Logistic Regression</w:t>
      </w:r>
      <w:r w:rsidRPr="00951530">
        <w:t>: Logistic Regression performed well with a train and test accuracy of 95.83% and 93.33%, respectively. It demonstrated consistent performance across F1-score, precision, and recall.</w:t>
      </w:r>
    </w:p>
    <w:p w14:paraId="66DB1A13" w14:textId="77777777" w:rsidR="00951530" w:rsidRPr="00951530" w:rsidRDefault="00951530" w:rsidP="00951530">
      <w:pPr>
        <w:numPr>
          <w:ilvl w:val="0"/>
          <w:numId w:val="2"/>
        </w:numPr>
      </w:pPr>
      <w:r w:rsidRPr="00951530">
        <w:rPr>
          <w:b/>
          <w:bCs/>
        </w:rPr>
        <w:t>Decision Tree</w:t>
      </w:r>
      <w:r w:rsidRPr="00951530">
        <w:t>: The Decision Tree outperformed Logistic Regression slightly, achieving the highest training accuracy of 98.33% and a test accuracy of 96.67%. Its F1-score, precision, and recall also matched its strong accuracy.</w:t>
      </w:r>
    </w:p>
    <w:p w14:paraId="7E843047" w14:textId="77777777" w:rsidR="00951530" w:rsidRPr="00951530" w:rsidRDefault="00951530" w:rsidP="00951530">
      <w:pPr>
        <w:numPr>
          <w:ilvl w:val="0"/>
          <w:numId w:val="2"/>
        </w:numPr>
      </w:pPr>
      <w:r w:rsidRPr="00951530">
        <w:rPr>
          <w:b/>
          <w:bCs/>
        </w:rPr>
        <w:t>K-Nearest Neighbors (KNN)</w:t>
      </w:r>
      <w:r w:rsidRPr="00951530">
        <w:t>: KNN matched Decision Tree in test accuracy (96.67%) and F1-score (96.66%), indicating its effectiveness in this balanced dataset. However, its training performance was slightly below Decision Tree’s.</w:t>
      </w:r>
    </w:p>
    <w:p w14:paraId="303D0AC8" w14:textId="77777777" w:rsidR="00951530" w:rsidRPr="00951530" w:rsidRDefault="00951530" w:rsidP="00951530">
      <w:pPr>
        <w:numPr>
          <w:ilvl w:val="0"/>
          <w:numId w:val="2"/>
        </w:numPr>
      </w:pPr>
      <w:r w:rsidRPr="00951530">
        <w:rPr>
          <w:b/>
          <w:bCs/>
        </w:rPr>
        <w:t>Balanced Dataset Impact</w:t>
      </w:r>
      <w:r w:rsidRPr="00951530">
        <w:t>: Since the target variable is perfectly balanced, there is no disparity between accuracy, F1-score, precision, and recall. This allows for straightforward comparisons among models without concerns of bias.</w:t>
      </w:r>
    </w:p>
    <w:p w14:paraId="30D35F38" w14:textId="77777777" w:rsidR="00951530" w:rsidRPr="00951530" w:rsidRDefault="00951530" w:rsidP="00951530">
      <w:r w:rsidRPr="00951530">
        <w:rPr>
          <w:b/>
          <w:bCs/>
        </w:rPr>
        <w:t>Conclusion</w:t>
      </w:r>
    </w:p>
    <w:p w14:paraId="37F8A28A" w14:textId="77777777" w:rsidR="00951530" w:rsidRPr="00951530" w:rsidRDefault="00951530" w:rsidP="00951530">
      <w:r w:rsidRPr="00951530">
        <w:t xml:space="preserve">Based on the evaluation metrics, the </w:t>
      </w:r>
      <w:r w:rsidRPr="00951530">
        <w:rPr>
          <w:b/>
          <w:bCs/>
        </w:rPr>
        <w:t>Decision Tree</w:t>
      </w:r>
      <w:r w:rsidRPr="00951530">
        <w:t xml:space="preserve"> classifier exhibited the best overall performance, with the highest train and test accuracy, as well as precision and recall. While KNN matched Decision Tree in test metrics, its training performance was marginally lower, indicating that Decision Tree is better at capturing the underlying patterns of the Iris dataset.</w:t>
      </w:r>
    </w:p>
    <w:p w14:paraId="518774BA" w14:textId="034D488B" w:rsidR="007D5889" w:rsidRDefault="00951530" w:rsidP="00951530">
      <w:r w:rsidRPr="00951530">
        <w:t xml:space="preserve">Logistic Regression performed well but slightly </w:t>
      </w:r>
      <w:proofErr w:type="gramStart"/>
      <w:r w:rsidRPr="00951530">
        <w:t>lagged behind</w:t>
      </w:r>
      <w:proofErr w:type="gramEnd"/>
      <w:r w:rsidRPr="00951530">
        <w:t xml:space="preserve"> the other two models in terms of accuracy and generalization. The results affirm that both Decision Tree and KNN are excellent choices for balanced datasets, but Decision Tree’s superior performance and interpretability make it the top choice for this task.</w:t>
      </w:r>
    </w:p>
    <w:sectPr w:rsidR="007D5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A35EF4"/>
    <w:multiLevelType w:val="multilevel"/>
    <w:tmpl w:val="E63AC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AB51F4"/>
    <w:multiLevelType w:val="multilevel"/>
    <w:tmpl w:val="9B28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D543C"/>
    <w:multiLevelType w:val="multilevel"/>
    <w:tmpl w:val="7BC0F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896385">
    <w:abstractNumId w:val="1"/>
  </w:num>
  <w:num w:numId="2" w16cid:durableId="969481135">
    <w:abstractNumId w:val="0"/>
  </w:num>
  <w:num w:numId="3" w16cid:durableId="8810938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889"/>
    <w:rsid w:val="003F73CF"/>
    <w:rsid w:val="007D5889"/>
    <w:rsid w:val="009515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8AA94"/>
  <w15:chartTrackingRefBased/>
  <w15:docId w15:val="{9477D425-C528-425E-8167-5C539ED14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8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8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8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8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8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8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8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8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8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8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8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8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8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8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8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8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8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889"/>
    <w:rPr>
      <w:rFonts w:eastAsiaTheme="majorEastAsia" w:cstheme="majorBidi"/>
      <w:color w:val="272727" w:themeColor="text1" w:themeTint="D8"/>
    </w:rPr>
  </w:style>
  <w:style w:type="paragraph" w:styleId="Title">
    <w:name w:val="Title"/>
    <w:basedOn w:val="Normal"/>
    <w:next w:val="Normal"/>
    <w:link w:val="TitleChar"/>
    <w:uiPriority w:val="10"/>
    <w:qFormat/>
    <w:rsid w:val="007D58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8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8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8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889"/>
    <w:pPr>
      <w:spacing w:before="160"/>
      <w:jc w:val="center"/>
    </w:pPr>
    <w:rPr>
      <w:i/>
      <w:iCs/>
      <w:color w:val="404040" w:themeColor="text1" w:themeTint="BF"/>
    </w:rPr>
  </w:style>
  <w:style w:type="character" w:customStyle="1" w:styleId="QuoteChar">
    <w:name w:val="Quote Char"/>
    <w:basedOn w:val="DefaultParagraphFont"/>
    <w:link w:val="Quote"/>
    <w:uiPriority w:val="29"/>
    <w:rsid w:val="007D5889"/>
    <w:rPr>
      <w:i/>
      <w:iCs/>
      <w:color w:val="404040" w:themeColor="text1" w:themeTint="BF"/>
    </w:rPr>
  </w:style>
  <w:style w:type="paragraph" w:styleId="ListParagraph">
    <w:name w:val="List Paragraph"/>
    <w:basedOn w:val="Normal"/>
    <w:uiPriority w:val="34"/>
    <w:qFormat/>
    <w:rsid w:val="007D5889"/>
    <w:pPr>
      <w:ind w:left="720"/>
      <w:contextualSpacing/>
    </w:pPr>
  </w:style>
  <w:style w:type="character" w:styleId="IntenseEmphasis">
    <w:name w:val="Intense Emphasis"/>
    <w:basedOn w:val="DefaultParagraphFont"/>
    <w:uiPriority w:val="21"/>
    <w:qFormat/>
    <w:rsid w:val="007D5889"/>
    <w:rPr>
      <w:i/>
      <w:iCs/>
      <w:color w:val="0F4761" w:themeColor="accent1" w:themeShade="BF"/>
    </w:rPr>
  </w:style>
  <w:style w:type="paragraph" w:styleId="IntenseQuote">
    <w:name w:val="Intense Quote"/>
    <w:basedOn w:val="Normal"/>
    <w:next w:val="Normal"/>
    <w:link w:val="IntenseQuoteChar"/>
    <w:uiPriority w:val="30"/>
    <w:qFormat/>
    <w:rsid w:val="007D58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889"/>
    <w:rPr>
      <w:i/>
      <w:iCs/>
      <w:color w:val="0F4761" w:themeColor="accent1" w:themeShade="BF"/>
    </w:rPr>
  </w:style>
  <w:style w:type="character" w:styleId="IntenseReference">
    <w:name w:val="Intense Reference"/>
    <w:basedOn w:val="DefaultParagraphFont"/>
    <w:uiPriority w:val="32"/>
    <w:qFormat/>
    <w:rsid w:val="007D58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325877">
      <w:bodyDiv w:val="1"/>
      <w:marLeft w:val="0"/>
      <w:marRight w:val="0"/>
      <w:marTop w:val="0"/>
      <w:marBottom w:val="0"/>
      <w:divBdr>
        <w:top w:val="none" w:sz="0" w:space="0" w:color="auto"/>
        <w:left w:val="none" w:sz="0" w:space="0" w:color="auto"/>
        <w:bottom w:val="none" w:sz="0" w:space="0" w:color="auto"/>
        <w:right w:val="none" w:sz="0" w:space="0" w:color="auto"/>
      </w:divBdr>
    </w:div>
    <w:div w:id="153153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467</Words>
  <Characters>2664</Characters>
  <Application>Microsoft Office Word</Application>
  <DocSecurity>0</DocSecurity>
  <Lines>22</Lines>
  <Paragraphs>6</Paragraphs>
  <ScaleCrop>false</ScaleCrop>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abanoub192002@fci.bu.edu.eg</dc:creator>
  <cp:keywords/>
  <dc:description/>
  <cp:lastModifiedBy>abanoub192002@fci.bu.edu.eg</cp:lastModifiedBy>
  <cp:revision>2</cp:revision>
  <dcterms:created xsi:type="dcterms:W3CDTF">2025-01-24T02:02:00Z</dcterms:created>
  <dcterms:modified xsi:type="dcterms:W3CDTF">2025-01-24T02:07:00Z</dcterms:modified>
</cp:coreProperties>
</file>