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CC2BEB" w:rsidRDefault="00CC2BEB" w:rsidP="00CC2BEB">
      <w:pPr>
        <w:pStyle w:val="Heading1"/>
        <w:jc w:val="center"/>
        <w:rPr>
          <w:rStyle w:val="Emphasis"/>
          <w:color w:val="1F497D" w:themeColor="text2"/>
          <w:sz w:val="72"/>
          <w:u w:val="single"/>
        </w:rPr>
      </w:pPr>
      <w:r w:rsidRPr="00CC2BEB">
        <w:rPr>
          <w:rStyle w:val="Emphasis"/>
          <w:color w:val="1F497D" w:themeColor="text2"/>
          <w:sz w:val="72"/>
          <w:u w:val="single"/>
        </w:rPr>
        <w:t>Charts Description</w:t>
      </w:r>
    </w:p>
    <w:p w:rsidR="00CC2BEB" w:rsidRPr="00CC2BEB" w:rsidRDefault="00CC2BEB" w:rsidP="00CC2BEB">
      <w:pPr>
        <w:pStyle w:val="NormalWeb"/>
        <w:numPr>
          <w:ilvl w:val="0"/>
          <w:numId w:val="1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Line Chart – Total Funding INR by Year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</w:r>
      <w:proofErr w:type="gram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A</w:t>
      </w:r>
      <w:proofErr w:type="gram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line chart is ideal for showing trends over time. It helps visualize how funding changed across years.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It relates Year to Total Funding (INR)—showing funding growth and decline over time.</w:t>
      </w:r>
    </w:p>
    <w:p w:rsidR="00CC2BEB" w:rsidRPr="00CC2BEB" w:rsidRDefault="00CC2BEB" w:rsidP="00CC2BEB">
      <w:pPr>
        <w:pStyle w:val="NormalWeb"/>
        <w:numPr>
          <w:ilvl w:val="0"/>
          <w:numId w:val="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Funding peaked in 2017 (₹380.25bn).</w:t>
      </w:r>
    </w:p>
    <w:p w:rsidR="00CC2BEB" w:rsidRPr="00CC2BEB" w:rsidRDefault="00CC2BEB" w:rsidP="00CC2BEB">
      <w:pPr>
        <w:pStyle w:val="NormalWeb"/>
        <w:numPr>
          <w:ilvl w:val="0"/>
          <w:numId w:val="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There was a sharp decline by 2020 (₹14.12bn), indicating possibly market disruptions.</w:t>
      </w:r>
    </w:p>
    <w:p w:rsidR="00CC2BEB" w:rsidRDefault="00CC2BEB" w:rsidP="00CC2BEB">
      <w:pPr>
        <w:pStyle w:val="NormalWeb"/>
        <w:numPr>
          <w:ilvl w:val="0"/>
          <w:numId w:val="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Initial dip in 2016 and a rebound later </w:t>
      </w:r>
      <w:proofErr w:type="gram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shows</w:t>
      </w:r>
      <w:proofErr w:type="gram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investment volatility.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555119"/>
            <wp:effectExtent l="0" t="0" r="0" b="7620"/>
            <wp:docPr id="2" name="Picture 2" descr="D:\Power BI project\charts\Lin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wer BI project\charts\Line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3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Pie Chart – Number of Investments by Industry Vertical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A pie chart provides a clear visual breakdown of proportions between categories.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It compares the number of investments across different industry verticals.</w:t>
      </w:r>
    </w:p>
    <w:p w:rsidR="00CC2BEB" w:rsidRPr="00CC2BEB" w:rsidRDefault="00CC2BEB" w:rsidP="00CC2BEB">
      <w:pPr>
        <w:pStyle w:val="NormalWeb"/>
        <w:numPr>
          <w:ilvl w:val="0"/>
          <w:numId w:val="4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Consumer Internet (28.86%) dominates investment.</w:t>
      </w:r>
    </w:p>
    <w:p w:rsidR="00CC2BEB" w:rsidRPr="00CC2BEB" w:rsidRDefault="00CC2BEB" w:rsidP="00CC2BEB">
      <w:pPr>
        <w:pStyle w:val="NormalWeb"/>
        <w:numPr>
          <w:ilvl w:val="0"/>
          <w:numId w:val="4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Followed by Technology (15.54%) and Ecommerce (8.99%).</w:t>
      </w:r>
    </w:p>
    <w:p w:rsidR="00CC2BEB" w:rsidRDefault="00CC2BEB" w:rsidP="00CC2BEB">
      <w:pPr>
        <w:pStyle w:val="NormalWeb"/>
        <w:numPr>
          <w:ilvl w:val="0"/>
          <w:numId w:val="4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Long tail of small verticals indicates diversification of sectors.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348402"/>
            <wp:effectExtent l="0" t="0" r="0" b="4445"/>
            <wp:docPr id="3" name="Picture 3" descr="D:\Power BI project\charts\Pai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wer BI project\charts\Pai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5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Stacked Column Chart – Average Funding and Latest Year Funding by Investment Type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Used to compare multiple values (average vs. latest) across a single dimension (investment types).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It compares average funding and the latest year funding for each investment type.</w:t>
      </w:r>
    </w:p>
    <w:p w:rsidR="00CC2BEB" w:rsidRPr="00CC2BEB" w:rsidRDefault="00CC2BEB" w:rsidP="00CC2BEB">
      <w:pPr>
        <w:pStyle w:val="NormalWeb"/>
        <w:numPr>
          <w:ilvl w:val="0"/>
          <w:numId w:val="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Private Equity and Single Venture have the highest average and latest funding.</w:t>
      </w:r>
    </w:p>
    <w:p w:rsidR="00CC2BEB" w:rsidRPr="00CC2BEB" w:rsidRDefault="00CC2BEB" w:rsidP="00CC2BEB">
      <w:pPr>
        <w:pStyle w:val="NormalWeb"/>
        <w:numPr>
          <w:ilvl w:val="0"/>
          <w:numId w:val="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Many smaller types show minimal recent activity.</w:t>
      </w:r>
    </w:p>
    <w:p w:rsidR="00CC2BEB" w:rsidRDefault="00CC2BEB" w:rsidP="00CC2BEB">
      <w:pPr>
        <w:pStyle w:val="NormalWeb"/>
        <w:numPr>
          <w:ilvl w:val="0"/>
          <w:numId w:val="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Useful to identify consistent high-value funding routes.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327671"/>
            <wp:effectExtent l="0" t="0" r="0" b="6350"/>
            <wp:docPr id="4" name="Picture 4" descr="D:\Power BI project\charts\Stacked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ower BI project\charts\Stacked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7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lastRenderedPageBreak/>
        <w:t>Decomposition Tree – Funding by Industry, City, and Year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</w:r>
      <w:proofErr w:type="gram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A</w:t>
      </w:r>
      <w:proofErr w:type="gram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decomposition tree allows dynamic drill-down and root cause analysis of totals.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It breaks down Total Funding by Industry → City → Year.</w:t>
      </w:r>
    </w:p>
    <w:p w:rsidR="00CC2BEB" w:rsidRPr="00CC2BEB" w:rsidRDefault="00CC2BEB" w:rsidP="00CC2BEB">
      <w:pPr>
        <w:pStyle w:val="NormalWeb"/>
        <w:numPr>
          <w:ilvl w:val="0"/>
          <w:numId w:val="8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Ecommerce in Bangalore (₹230bn) in 2017 is the top contributor.</w:t>
      </w:r>
    </w:p>
    <w:p w:rsidR="00CC2BEB" w:rsidRDefault="00CC2BEB" w:rsidP="00CC2BEB">
      <w:pPr>
        <w:pStyle w:val="NormalWeb"/>
        <w:numPr>
          <w:ilvl w:val="0"/>
          <w:numId w:val="8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Useful for identifying geographic and temporal concentration.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334669"/>
            <wp:effectExtent l="0" t="0" r="0" b="0"/>
            <wp:docPr id="5" name="Picture 5" descr="D:\Power BI project\charts\Decomposition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ower BI project\charts\Decomposition 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9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lastRenderedPageBreak/>
        <w:t>Donut Chart – Number of Investments by Investment Type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Donut charts highlight proportions with a central focus metric.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It shows which investment types are most common in terms of number of deals.</w:t>
      </w:r>
    </w:p>
    <w:p w:rsidR="00CC2BEB" w:rsidRPr="00CC2BEB" w:rsidRDefault="00CC2BEB" w:rsidP="00CC2BEB">
      <w:pPr>
        <w:pStyle w:val="NormalWeb"/>
        <w:numPr>
          <w:ilvl w:val="0"/>
          <w:numId w:val="10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Private Equity (44.89%) and Seed Funding (42.68%) dominate the landscape.</w:t>
      </w:r>
    </w:p>
    <w:p w:rsidR="00CC2BEB" w:rsidRDefault="00CC2BEB" w:rsidP="00CC2BEB">
      <w:pPr>
        <w:pStyle w:val="NormalWeb"/>
        <w:numPr>
          <w:ilvl w:val="0"/>
          <w:numId w:val="10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This suggests early-stage and growth-stage funding are the most frequent.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319008"/>
            <wp:effectExtent l="0" t="0" r="0" b="0"/>
            <wp:docPr id="6" name="Picture 6" descr="D:\Power BI project\charts\Donu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ower BI project\charts\Donut 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11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lastRenderedPageBreak/>
        <w:t>Line + Column Chart – Total Funding and Number of Investments by Startup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Dual-axis charts are best to visualize two metrics across the same category.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 xml:space="preserve">Shows Startup name </w:t>
      </w: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vs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both Total Funding (columns) and Number of Investments (line).</w:t>
      </w:r>
    </w:p>
    <w:p w:rsidR="00CC2BEB" w:rsidRPr="00CC2BEB" w:rsidRDefault="00CC2BEB" w:rsidP="00CC2BEB">
      <w:pPr>
        <w:pStyle w:val="NormalWeb"/>
        <w:numPr>
          <w:ilvl w:val="0"/>
          <w:numId w:val="1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Flipkart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leads with ₹212bn and high investment count.</w:t>
      </w:r>
    </w:p>
    <w:p w:rsidR="00CC2BEB" w:rsidRPr="00CC2BEB" w:rsidRDefault="00CC2BEB" w:rsidP="00CC2BEB">
      <w:pPr>
        <w:pStyle w:val="NormalWeb"/>
        <w:numPr>
          <w:ilvl w:val="0"/>
          <w:numId w:val="1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Some startups have high funding but fewer rounds (e.g., </w:t>
      </w: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Udaan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, </w:t>
      </w: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Snapdeal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).</w:t>
      </w:r>
    </w:p>
    <w:p w:rsidR="00CC2BEB" w:rsidRDefault="00CC2BEB" w:rsidP="00CC2BEB">
      <w:pPr>
        <w:pStyle w:val="NormalWeb"/>
        <w:numPr>
          <w:ilvl w:val="0"/>
          <w:numId w:val="12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Reveals funding concentration.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531544"/>
            <wp:effectExtent l="0" t="0" r="0" b="0"/>
            <wp:docPr id="7" name="Picture 7" descr="D:\Power BI project\charts\Line and Stacked colum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ower BI project\charts\Line and Stacked column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13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Clustered Bar Chart – Total Funding by Startup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</w:r>
      <w:proofErr w:type="gram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A</w:t>
      </w:r>
      <w:proofErr w:type="gram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simple horizontal bar chart provides a clear comparison of totals.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Compares startups by total amount raised.</w:t>
      </w:r>
    </w:p>
    <w:p w:rsidR="00CC2BEB" w:rsidRPr="00CC2BEB" w:rsidRDefault="00CC2BEB" w:rsidP="00CC2BEB">
      <w:pPr>
        <w:pStyle w:val="NormalWeb"/>
        <w:numPr>
          <w:ilvl w:val="0"/>
          <w:numId w:val="14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Easy-to-read format to identify top-funded startups.</w:t>
      </w:r>
    </w:p>
    <w:p w:rsidR="00CC2BEB" w:rsidRDefault="00CC2BEB" w:rsidP="00CC2BEB">
      <w:pPr>
        <w:pStyle w:val="NormalWeb"/>
        <w:numPr>
          <w:ilvl w:val="0"/>
          <w:numId w:val="14"/>
        </w:numPr>
        <w:rPr>
          <w:rStyle w:val="Emphasis"/>
          <w:rFonts w:asciiTheme="majorHAnsi" w:hAnsiTheme="majorHAnsi"/>
          <w:color w:val="1F497D" w:themeColor="text2"/>
          <w:sz w:val="28"/>
        </w:rPr>
      </w:pP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Flipkart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, </w:t>
      </w: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Udaan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, </w:t>
      </w:r>
      <w:proofErr w:type="spell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Snapdeal</w:t>
      </w:r>
      <w:proofErr w:type="spell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dominate the landscape.</w:t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bookmarkStart w:id="0" w:name="_GoBack"/>
      <w:bookmarkEnd w:id="0"/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  <w:r>
        <w:rPr>
          <w:rFonts w:asciiTheme="majorHAnsi" w:hAnsiTheme="majorHAnsi"/>
          <w:i/>
          <w:iCs/>
          <w:noProof/>
          <w:color w:val="1F497D" w:themeColor="text2"/>
          <w:sz w:val="28"/>
        </w:rPr>
        <w:drawing>
          <wp:inline distT="0" distB="0" distL="0" distR="0">
            <wp:extent cx="5943600" cy="3330498"/>
            <wp:effectExtent l="0" t="0" r="0" b="3810"/>
            <wp:docPr id="8" name="Picture 8" descr="D:\Power BI project\charts\Clustered 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ower BI project\charts\Clustered bar 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rPr>
          <w:rStyle w:val="Emphasis"/>
          <w:rFonts w:asciiTheme="majorHAnsi" w:hAnsiTheme="majorHAnsi"/>
          <w:color w:val="1F497D" w:themeColor="text2"/>
          <w:sz w:val="28"/>
        </w:rPr>
      </w:pPr>
    </w:p>
    <w:p w:rsidR="00CC2BEB" w:rsidRPr="00CC2BEB" w:rsidRDefault="00CC2BEB" w:rsidP="00CC2BEB">
      <w:pPr>
        <w:pStyle w:val="NormalWeb"/>
        <w:numPr>
          <w:ilvl w:val="0"/>
          <w:numId w:val="15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Dashboard – Overview of Key Metrics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>Dashboards summarize KPIs and visuals in one page for storytelling and executive overview.</w:t>
      </w:r>
      <w:r w:rsidRPr="00CC2BEB">
        <w:rPr>
          <w:rStyle w:val="Emphasis"/>
          <w:rFonts w:asciiTheme="majorHAnsi" w:hAnsiTheme="majorHAnsi"/>
          <w:color w:val="1F497D" w:themeColor="text2"/>
          <w:sz w:val="28"/>
        </w:rPr>
        <w:br/>
        <w:t xml:space="preserve">Integrates all charts and metrics: totals, averages, </w:t>
      </w:r>
      <w:proofErr w:type="gramStart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industry</w:t>
      </w:r>
      <w:proofErr w:type="gramEnd"/>
      <w:r w:rsidRPr="00CC2BEB">
        <w:rPr>
          <w:rStyle w:val="Emphasis"/>
          <w:rFonts w:asciiTheme="majorHAnsi" w:hAnsiTheme="majorHAnsi"/>
          <w:color w:val="1F497D" w:themeColor="text2"/>
          <w:sz w:val="28"/>
        </w:rPr>
        <w:t xml:space="preserve"> and city trends.</w:t>
      </w:r>
    </w:p>
    <w:p w:rsidR="00CC2BEB" w:rsidRPr="00CC2BEB" w:rsidRDefault="00CC2BEB" w:rsidP="00CC2BEB">
      <w:pPr>
        <w:pStyle w:val="NormalWeb"/>
        <w:numPr>
          <w:ilvl w:val="0"/>
          <w:numId w:val="1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Total funding: ₹1.21T, 1223 investments, 1065 startups.</w:t>
      </w:r>
    </w:p>
    <w:p w:rsidR="00CC2BEB" w:rsidRPr="00CC2BEB" w:rsidRDefault="00CC2BEB" w:rsidP="00CC2BEB">
      <w:pPr>
        <w:pStyle w:val="NormalWeb"/>
        <w:numPr>
          <w:ilvl w:val="0"/>
          <w:numId w:val="1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Consumer Internet and Private Equity dominate.</w:t>
      </w:r>
    </w:p>
    <w:p w:rsidR="00CC2BEB" w:rsidRPr="00CC2BEB" w:rsidRDefault="00CC2BEB" w:rsidP="00CC2BEB">
      <w:pPr>
        <w:pStyle w:val="NormalWeb"/>
        <w:numPr>
          <w:ilvl w:val="0"/>
          <w:numId w:val="16"/>
        </w:numPr>
        <w:rPr>
          <w:rStyle w:val="Emphasis"/>
          <w:rFonts w:asciiTheme="majorHAnsi" w:hAnsiTheme="majorHAnsi"/>
          <w:color w:val="1F497D" w:themeColor="text2"/>
          <w:sz w:val="28"/>
        </w:rPr>
      </w:pPr>
      <w:r w:rsidRPr="00CC2BEB">
        <w:rPr>
          <w:rStyle w:val="Emphasis"/>
          <w:rFonts w:asciiTheme="majorHAnsi" w:hAnsiTheme="majorHAnsi"/>
          <w:color w:val="1F497D" w:themeColor="text2"/>
          <w:sz w:val="28"/>
        </w:rPr>
        <w:t>Interactive filters for year, vertical, and location.</w:t>
      </w:r>
    </w:p>
    <w:p w:rsidR="00B41337" w:rsidRPr="00CC2BEB" w:rsidRDefault="00CC2BEB" w:rsidP="00CC2BEB">
      <w:pPr>
        <w:rPr>
          <w:rStyle w:val="Emphasis"/>
          <w:rFonts w:asciiTheme="majorHAnsi" w:hAnsiTheme="majorHAnsi"/>
          <w:color w:val="1F497D" w:themeColor="text2"/>
          <w:sz w:val="24"/>
        </w:rPr>
      </w:pPr>
      <w:r>
        <w:rPr>
          <w:rFonts w:asciiTheme="majorHAnsi" w:hAnsiTheme="majorHAnsi"/>
          <w:i/>
          <w:iCs/>
          <w:noProof/>
          <w:color w:val="1F497D" w:themeColor="text2"/>
          <w:sz w:val="24"/>
        </w:rPr>
        <w:drawing>
          <wp:inline distT="0" distB="0" distL="0" distR="0">
            <wp:extent cx="5943600" cy="3321827"/>
            <wp:effectExtent l="0" t="0" r="0" b="0"/>
            <wp:docPr id="9" name="Picture 9" descr="D:\Power BI project\chart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ower BI project\charts\Dash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337" w:rsidRPr="00CC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32D"/>
    <w:multiLevelType w:val="multilevel"/>
    <w:tmpl w:val="F7C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854FF"/>
    <w:multiLevelType w:val="multilevel"/>
    <w:tmpl w:val="273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70FA4"/>
    <w:multiLevelType w:val="multilevel"/>
    <w:tmpl w:val="868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258F9"/>
    <w:multiLevelType w:val="multilevel"/>
    <w:tmpl w:val="040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53C0A"/>
    <w:multiLevelType w:val="multilevel"/>
    <w:tmpl w:val="01601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37B82"/>
    <w:multiLevelType w:val="multilevel"/>
    <w:tmpl w:val="EF88D8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B17F75"/>
    <w:multiLevelType w:val="multilevel"/>
    <w:tmpl w:val="EAB26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9E6E6B"/>
    <w:multiLevelType w:val="multilevel"/>
    <w:tmpl w:val="A7B2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1D1D3E"/>
    <w:multiLevelType w:val="multilevel"/>
    <w:tmpl w:val="15F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E65E5F"/>
    <w:multiLevelType w:val="multilevel"/>
    <w:tmpl w:val="57C6C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E304E9"/>
    <w:multiLevelType w:val="multilevel"/>
    <w:tmpl w:val="2FF2C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77DE9"/>
    <w:multiLevelType w:val="multilevel"/>
    <w:tmpl w:val="450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61C5A"/>
    <w:multiLevelType w:val="multilevel"/>
    <w:tmpl w:val="A86A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C528A6"/>
    <w:multiLevelType w:val="multilevel"/>
    <w:tmpl w:val="306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425639"/>
    <w:multiLevelType w:val="multilevel"/>
    <w:tmpl w:val="252EAF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323903"/>
    <w:multiLevelType w:val="multilevel"/>
    <w:tmpl w:val="D08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13"/>
  </w:num>
  <w:num w:numId="13">
    <w:abstractNumId w:val="14"/>
  </w:num>
  <w:num w:numId="14">
    <w:abstractNumId w:val="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EB"/>
    <w:rsid w:val="002270DF"/>
    <w:rsid w:val="00CC2BEB"/>
    <w:rsid w:val="00CD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B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C2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C2B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B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C2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C2B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2025-06-05T08:11:00Z</dcterms:created>
  <dcterms:modified xsi:type="dcterms:W3CDTF">2025-06-05T08:20:00Z</dcterms:modified>
</cp:coreProperties>
</file>