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Ahmad Barakat | ITEC 454 | 04/19/2025</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Business Impact Analysis (BIA): Initech Technologies</w:t>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Organizational Mission Statement</w:t>
      </w:r>
    </w:p>
    <w:p w:rsidR="00000000" w:rsidDel="00000000" w:rsidP="00000000" w:rsidRDefault="00000000" w:rsidRPr="00000000" w14:paraId="00000007">
      <w:pPr>
        <w:rPr>
          <w:b w:val="1"/>
          <w:sz w:val="28"/>
          <w:szCs w:val="28"/>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Initech Technologies provides innovative software solutions and IT consulting services to aid clients in optimizing business processes, improving customer engagement, and advancing in digital transformation. It is also essential to maintain the safety and security of all employees and customers alike.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Essential Business Functions</w:t>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Business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How it supports 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Software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Design, build, and deploy specific software for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Primary source of revenue, fulfills core mission of software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Client Support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Provide technical support through ticketing system, phone and live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Client satisfaction, and customer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Cloud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Manage cloud hosting, deployments, and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Keep client systems secure online.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Internal IT/Network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Maintain systems, employee devices, and network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 employee productivity and secure work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Human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Hiring, employee records, and compensation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Ensure compliance, staff retention</w:t>
            </w:r>
          </w:p>
        </w:tc>
      </w:tr>
    </w:tbl>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sz w:val="28"/>
          <w:szCs w:val="28"/>
        </w:rPr>
      </w:pPr>
      <w:r w:rsidDel="00000000" w:rsidR="00000000" w:rsidRPr="00000000">
        <w:rPr>
          <w:b w:val="1"/>
          <w:sz w:val="28"/>
          <w:szCs w:val="28"/>
          <w:rtl w:val="0"/>
        </w:rPr>
        <w:t xml:space="preserve">Recovery Time/Point Objectives</w:t>
      </w:r>
    </w:p>
    <w:p w:rsidR="00000000" w:rsidDel="00000000" w:rsidP="00000000" w:rsidRDefault="00000000" w:rsidRPr="00000000" w14:paraId="00000026">
      <w:pPr>
        <w:rPr>
          <w:b w:val="1"/>
          <w:sz w:val="28"/>
          <w:szCs w:val="28"/>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b w:val="1"/>
          <w:sz w:val="24"/>
          <w:szCs w:val="24"/>
          <w:rtl w:val="0"/>
        </w:rPr>
        <w:t xml:space="preserve">Recovery Time Objective (RTO): </w:t>
      </w:r>
      <w:r w:rsidDel="00000000" w:rsidR="00000000" w:rsidRPr="00000000">
        <w:rPr>
          <w:sz w:val="24"/>
          <w:szCs w:val="24"/>
          <w:rtl w:val="0"/>
        </w:rPr>
        <w:t xml:space="preserve">How fast Initech Technologies will need to get the system back up (2022).</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b w:val="1"/>
          <w:sz w:val="24"/>
          <w:szCs w:val="24"/>
          <w:rtl w:val="0"/>
        </w:rPr>
        <w:t xml:space="preserve">Recovery Point Objective (RPO): </w:t>
      </w:r>
      <w:r w:rsidDel="00000000" w:rsidR="00000000" w:rsidRPr="00000000">
        <w:rPr>
          <w:sz w:val="24"/>
          <w:szCs w:val="24"/>
          <w:rtl w:val="0"/>
        </w:rPr>
        <w:t xml:space="preserve">How much data Initech can afford to lose.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sz w:val="24"/>
          <w:szCs w:val="24"/>
          <w:rtl w:val="0"/>
        </w:rPr>
        <w:t xml:space="preserve">Priority: </w:t>
      </w:r>
      <w:r w:rsidDel="00000000" w:rsidR="00000000" w:rsidRPr="00000000">
        <w:rPr>
          <w:sz w:val="24"/>
          <w:szCs w:val="24"/>
          <w:rtl w:val="0"/>
        </w:rPr>
        <w:t xml:space="preserve">Level of importance to the operations of the company and data sensitivity.</w:t>
      </w:r>
    </w:p>
    <w:p w:rsidR="00000000" w:rsidDel="00000000" w:rsidP="00000000" w:rsidRDefault="00000000" w:rsidRPr="00000000" w14:paraId="0000002C">
      <w:pPr>
        <w:rPr>
          <w:b w:val="1"/>
          <w:sz w:val="28"/>
          <w:szCs w:val="28"/>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Business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Recovery Time Objective (RTO)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Recovery Point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Priority (High = 1, Low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Software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Cloud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Client Support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Internal IT/Network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Human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sz w:val="28"/>
          <w:szCs w:val="28"/>
        </w:rPr>
      </w:pPr>
      <w:r w:rsidDel="00000000" w:rsidR="00000000" w:rsidRPr="00000000">
        <w:rPr>
          <w:rtl w:val="0"/>
        </w:rPr>
      </w:r>
    </w:p>
    <w:p w:rsidR="00000000" w:rsidDel="00000000" w:rsidP="00000000" w:rsidRDefault="00000000" w:rsidRPr="00000000" w14:paraId="00000049">
      <w:pPr>
        <w:rPr>
          <w:b w:val="1"/>
          <w:sz w:val="28"/>
          <w:szCs w:val="28"/>
        </w:rPr>
      </w:pPr>
      <w:r w:rsidDel="00000000" w:rsidR="00000000" w:rsidRPr="00000000">
        <w:rPr>
          <w:rtl w:val="0"/>
        </w:rPr>
      </w:r>
    </w:p>
    <w:p w:rsidR="00000000" w:rsidDel="00000000" w:rsidP="00000000" w:rsidRDefault="00000000" w:rsidRPr="00000000" w14:paraId="0000004A">
      <w:pPr>
        <w:rPr>
          <w:b w:val="1"/>
          <w:sz w:val="28"/>
          <w:szCs w:val="28"/>
        </w:rPr>
      </w:pPr>
      <w:r w:rsidDel="00000000" w:rsidR="00000000" w:rsidRPr="00000000">
        <w:rPr>
          <w:rtl w:val="0"/>
        </w:rPr>
      </w:r>
    </w:p>
    <w:p w:rsidR="00000000" w:rsidDel="00000000" w:rsidP="00000000" w:rsidRDefault="00000000" w:rsidRPr="00000000" w14:paraId="0000004B">
      <w:pPr>
        <w:rPr>
          <w:b w:val="1"/>
          <w:sz w:val="28"/>
          <w:szCs w:val="28"/>
        </w:rPr>
      </w:pPr>
      <w:r w:rsidDel="00000000" w:rsidR="00000000" w:rsidRPr="00000000">
        <w:rPr>
          <w:rtl w:val="0"/>
        </w:rPr>
      </w:r>
    </w:p>
    <w:p w:rsidR="00000000" w:rsidDel="00000000" w:rsidP="00000000" w:rsidRDefault="00000000" w:rsidRPr="00000000" w14:paraId="0000004C">
      <w:pPr>
        <w:rPr>
          <w:b w:val="1"/>
          <w:sz w:val="28"/>
          <w:szCs w:val="28"/>
        </w:rPr>
      </w:pPr>
      <w:r w:rsidDel="00000000" w:rsidR="00000000" w:rsidRPr="00000000">
        <w:rPr>
          <w:rtl w:val="0"/>
        </w:rPr>
      </w:r>
    </w:p>
    <w:p w:rsidR="00000000" w:rsidDel="00000000" w:rsidP="00000000" w:rsidRDefault="00000000" w:rsidRPr="00000000" w14:paraId="0000004D">
      <w:pPr>
        <w:rPr>
          <w:b w:val="1"/>
          <w:sz w:val="28"/>
          <w:szCs w:val="28"/>
        </w:rPr>
      </w:pPr>
      <w:r w:rsidDel="00000000" w:rsidR="00000000" w:rsidRPr="00000000">
        <w:rPr>
          <w:rtl w:val="0"/>
        </w:rPr>
      </w:r>
    </w:p>
    <w:p w:rsidR="00000000" w:rsidDel="00000000" w:rsidP="00000000" w:rsidRDefault="00000000" w:rsidRPr="00000000" w14:paraId="0000004E">
      <w:pPr>
        <w:rPr>
          <w:b w:val="1"/>
          <w:sz w:val="28"/>
          <w:szCs w:val="28"/>
        </w:rPr>
      </w:pPr>
      <w:r w:rsidDel="00000000" w:rsidR="00000000" w:rsidRPr="00000000">
        <w:rPr>
          <w:rtl w:val="0"/>
        </w:rPr>
      </w:r>
    </w:p>
    <w:p w:rsidR="00000000" w:rsidDel="00000000" w:rsidP="00000000" w:rsidRDefault="00000000" w:rsidRPr="00000000" w14:paraId="0000004F">
      <w:pPr>
        <w:rPr>
          <w:b w:val="1"/>
          <w:sz w:val="28"/>
          <w:szCs w:val="28"/>
        </w:rPr>
      </w:pPr>
      <w:r w:rsidDel="00000000" w:rsidR="00000000" w:rsidRPr="00000000">
        <w:rPr>
          <w:rtl w:val="0"/>
        </w:rPr>
      </w:r>
    </w:p>
    <w:p w:rsidR="00000000" w:rsidDel="00000000" w:rsidP="00000000" w:rsidRDefault="00000000" w:rsidRPr="00000000" w14:paraId="00000050">
      <w:pPr>
        <w:rPr>
          <w:b w:val="1"/>
          <w:sz w:val="28"/>
          <w:szCs w:val="28"/>
        </w:rPr>
      </w:pPr>
      <w:r w:rsidDel="00000000" w:rsidR="00000000" w:rsidRPr="00000000">
        <w:rPr>
          <w:rtl w:val="0"/>
        </w:rPr>
      </w:r>
    </w:p>
    <w:p w:rsidR="00000000" w:rsidDel="00000000" w:rsidP="00000000" w:rsidRDefault="00000000" w:rsidRPr="00000000" w14:paraId="00000051">
      <w:pPr>
        <w:rPr>
          <w:b w:val="1"/>
          <w:sz w:val="28"/>
          <w:szCs w:val="28"/>
        </w:rPr>
      </w:pPr>
      <w:r w:rsidDel="00000000" w:rsidR="00000000" w:rsidRPr="00000000">
        <w:rPr>
          <w:rtl w:val="0"/>
        </w:rPr>
      </w:r>
    </w:p>
    <w:p w:rsidR="00000000" w:rsidDel="00000000" w:rsidP="00000000" w:rsidRDefault="00000000" w:rsidRPr="00000000" w14:paraId="00000052">
      <w:pPr>
        <w:rPr>
          <w:b w:val="1"/>
          <w:sz w:val="28"/>
          <w:szCs w:val="28"/>
        </w:rPr>
      </w:pPr>
      <w:r w:rsidDel="00000000" w:rsidR="00000000" w:rsidRPr="00000000">
        <w:rPr>
          <w:rtl w:val="0"/>
        </w:rPr>
      </w:r>
    </w:p>
    <w:p w:rsidR="00000000" w:rsidDel="00000000" w:rsidP="00000000" w:rsidRDefault="00000000" w:rsidRPr="00000000" w14:paraId="00000053">
      <w:pPr>
        <w:rPr>
          <w:b w:val="1"/>
          <w:sz w:val="28"/>
          <w:szCs w:val="28"/>
        </w:rPr>
      </w:pPr>
      <w:r w:rsidDel="00000000" w:rsidR="00000000" w:rsidRPr="00000000">
        <w:rPr>
          <w:rtl w:val="0"/>
        </w:rPr>
      </w:r>
    </w:p>
    <w:p w:rsidR="00000000" w:rsidDel="00000000" w:rsidP="00000000" w:rsidRDefault="00000000" w:rsidRPr="00000000" w14:paraId="00000054">
      <w:pPr>
        <w:rPr>
          <w:b w:val="1"/>
          <w:sz w:val="28"/>
          <w:szCs w:val="28"/>
        </w:rPr>
      </w:pPr>
      <w:r w:rsidDel="00000000" w:rsidR="00000000" w:rsidRPr="00000000">
        <w:rPr>
          <w:rtl w:val="0"/>
        </w:rPr>
      </w:r>
    </w:p>
    <w:p w:rsidR="00000000" w:rsidDel="00000000" w:rsidP="00000000" w:rsidRDefault="00000000" w:rsidRPr="00000000" w14:paraId="00000055">
      <w:pPr>
        <w:rPr>
          <w:b w:val="1"/>
          <w:sz w:val="28"/>
          <w:szCs w:val="28"/>
        </w:rPr>
      </w:pPr>
      <w:r w:rsidDel="00000000" w:rsidR="00000000" w:rsidRPr="00000000">
        <w:rPr>
          <w:b w:val="1"/>
          <w:sz w:val="28"/>
          <w:szCs w:val="28"/>
          <w:rtl w:val="0"/>
        </w:rPr>
        <w:t xml:space="preserve">Risk Illustration</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320846</wp:posOffset>
            </wp:positionV>
            <wp:extent cx="6091238" cy="750666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1238" cy="7506669"/>
                    </a:xfrm>
                    <a:prstGeom prst="rect"/>
                    <a:ln/>
                  </pic:spPr>
                </pic:pic>
              </a:graphicData>
            </a:graphic>
          </wp:anchor>
        </w:drawing>
      </w:r>
    </w:p>
    <w:p w:rsidR="00000000" w:rsidDel="00000000" w:rsidP="00000000" w:rsidRDefault="00000000" w:rsidRPr="00000000" w14:paraId="00000056">
      <w:pPr>
        <w:rPr>
          <w:b w:val="1"/>
          <w:sz w:val="28"/>
          <w:szCs w:val="28"/>
        </w:rPr>
      </w:pPr>
      <w:r w:rsidDel="00000000" w:rsidR="00000000" w:rsidRPr="00000000">
        <w:rPr>
          <w:rtl w:val="0"/>
        </w:rPr>
      </w:r>
    </w:p>
    <w:p w:rsidR="00000000" w:rsidDel="00000000" w:rsidP="00000000" w:rsidRDefault="00000000" w:rsidRPr="00000000" w14:paraId="00000057">
      <w:pPr>
        <w:rPr>
          <w:b w:val="1"/>
          <w:sz w:val="28"/>
          <w:szCs w:val="28"/>
        </w:rPr>
      </w:pPr>
      <w:r w:rsidDel="00000000" w:rsidR="00000000" w:rsidRPr="00000000">
        <w:rPr>
          <w:b w:val="1"/>
          <w:sz w:val="28"/>
          <w:szCs w:val="28"/>
          <w:rtl w:val="0"/>
        </w:rPr>
        <w:t xml:space="preserve">Resources</w:t>
      </w:r>
    </w:p>
    <w:p w:rsidR="00000000" w:rsidDel="00000000" w:rsidP="00000000" w:rsidRDefault="00000000" w:rsidRPr="00000000" w14:paraId="00000058">
      <w:pPr>
        <w:rPr>
          <w:b w:val="1"/>
          <w:sz w:val="28"/>
          <w:szCs w:val="28"/>
        </w:rPr>
      </w:pPr>
      <w:r w:rsidDel="00000000" w:rsidR="00000000" w:rsidRPr="00000000">
        <w:rPr>
          <w:rtl w:val="0"/>
        </w:rPr>
      </w:r>
    </w:p>
    <w:p w:rsidR="00000000" w:rsidDel="00000000" w:rsidP="00000000" w:rsidRDefault="00000000" w:rsidRPr="00000000" w14:paraId="00000059">
      <w:pPr>
        <w:spacing w:after="240" w:before="240" w:lineRule="auto"/>
        <w:ind w:left="0" w:firstLine="0"/>
        <w:rPr>
          <w:sz w:val="24"/>
          <w:szCs w:val="24"/>
        </w:rPr>
      </w:pPr>
      <w:r w:rsidDel="00000000" w:rsidR="00000000" w:rsidRPr="00000000">
        <w:rPr>
          <w:i w:val="1"/>
          <w:sz w:val="24"/>
          <w:szCs w:val="24"/>
          <w:rtl w:val="0"/>
        </w:rPr>
        <w:t xml:space="preserve">NIST SP 800-34</w:t>
      </w:r>
      <w:r w:rsidDel="00000000" w:rsidR="00000000" w:rsidRPr="00000000">
        <w:rPr>
          <w:sz w:val="24"/>
          <w:szCs w:val="24"/>
          <w:rtl w:val="0"/>
        </w:rPr>
        <w:t xml:space="preserve">. NIST. (2021, April 23). https://www.nist.gov/privacy-framework/nist-sp-800-34 </w:t>
      </w:r>
    </w:p>
    <w:p w:rsidR="00000000" w:rsidDel="00000000" w:rsidP="00000000" w:rsidRDefault="00000000" w:rsidRPr="00000000" w14:paraId="0000005A">
      <w:pPr>
        <w:spacing w:after="240" w:before="240" w:lineRule="auto"/>
        <w:ind w:left="0" w:firstLine="0"/>
        <w:rPr>
          <w:sz w:val="24"/>
          <w:szCs w:val="24"/>
        </w:rPr>
      </w:pPr>
      <w:r w:rsidDel="00000000" w:rsidR="00000000" w:rsidRPr="00000000">
        <w:rPr>
          <w:sz w:val="24"/>
          <w:szCs w:val="24"/>
          <w:rtl w:val="0"/>
        </w:rPr>
        <w:t xml:space="preserve">Wilson, M. (2022). Establishing RPO and RTO targets for cloud applications. https://aws.amazon.com/blogs/mt/establishing-rpo-and-rto-targets-for-cloud-applications</w:t>
      </w:r>
    </w:p>
    <w:p w:rsidR="00000000" w:rsidDel="00000000" w:rsidP="00000000" w:rsidRDefault="00000000" w:rsidRPr="00000000" w14:paraId="0000005B">
      <w:pPr>
        <w:spacing w:after="240" w:before="240" w:lineRule="auto"/>
        <w:ind w:left="0" w:firstLine="0"/>
        <w:rPr>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