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Ahmad Barakat | ITEC 422 | Wireshark Lab 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2f2f2" w:val="clear"/>
        </w:rPr>
        <w:drawing>
          <wp:inline distB="114300" distT="114300" distL="114300" distR="114300">
            <wp:extent cx="5943600" cy="7416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DHCP messages use UDP for ports 67 and 68.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1666875" cy="190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Discover: src port 68, dest port 67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Offer: src port 67, dest port 68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Request: src port 68, dest port 67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ACK: src port 67, dest port 68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Yes, it is the same as the default within the lab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467100" cy="419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228975" cy="7048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Client IP Address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Discover: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119993</wp:posOffset>
            </wp:positionV>
            <wp:extent cx="3321444" cy="458130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444" cy="45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Request: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152400</wp:posOffset>
            </wp:positionV>
            <wp:extent cx="2295525" cy="419100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Discover: 0x67e70e49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Offer: 0xe5a93d1d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Request: 0x13627219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ACK: 0x13627219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Request: 0xaa7326e5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ACK: 0xaa7326e5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Identifies a transaction so that it can be tracked and matched to records in the system.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667250" cy="6000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343275" cy="1428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790825" cy="1333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Offer message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relay agent.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Router - Default gateway for client.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Subnet mask - network portion of IP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Yes, can be found in request at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324225" cy="1238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How long client can use an IP before having to renew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2600325" cy="428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Client releases IP before lease expires, no request is not acknowledged, if DHCP release is lost then server will regain IP after lease expires.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Yes, check if a certain IP is being used.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5052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