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Management using MongoDB (Atlas) and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line="120" w:lineRule="auto"/>
              <w:rPr>
                <w:b w:val="1"/>
                <w:sz w:val="24"/>
                <w:szCs w:val="24"/>
              </w:rPr>
            </w:pPr>
            <w:r w:rsidDel="00000000" w:rsidR="00000000" w:rsidRPr="00000000">
              <w:rPr>
                <w:b w:val="1"/>
                <w:sz w:val="24"/>
                <w:szCs w:val="24"/>
                <w:rtl w:val="0"/>
              </w:rPr>
              <w:t xml:space="preserve">MongoDB Recordings: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120" w:lineRule="auto"/>
              <w:rPr>
                <w:b w:val="1"/>
                <w:sz w:val="24"/>
                <w:szCs w:val="24"/>
              </w:rPr>
            </w:pPr>
            <w:hyperlink r:id="rId13">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240" w:line="360" w:lineRule="auto"/>
              <w:rPr>
                <w:sz w:val="20"/>
                <w:szCs w:val="20"/>
              </w:rPr>
            </w:pPr>
            <w:hyperlink r:id="rId14">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spacing w:after="240" w:line="360" w:lineRule="auto"/>
              <w:rPr>
                <w:b w:val="1"/>
                <w:sz w:val="20"/>
                <w:szCs w:val="20"/>
              </w:rPr>
            </w:pPr>
            <w:hyperlink r:id="rId15">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6">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A">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B">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5">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ocs.google.com/document/d/1c2cjHu1uaRacIeOBMgIfT3YXwbaKIIfm4_rxDAcczos/edit?usp=sharing"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developers.google.com/youtube/v3/getting-started"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hyperlink" Target="https://forms.gle/1m2Gsro41fLtZurRA"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