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8"/>
        </w:rPr>
        <w:t>TimberFrame2D — Software Architecture &amp; Design</w:t>
      </w:r>
    </w:p>
    <w:p>
      <w:r>
        <w:rPr>
          <w:i w:val="0"/>
        </w:rPr>
        <w:t>This document describes the software architecture of the TimberFrame2D package: how the projects are organised and connected, the data flow through the application, the object-oriented design patterns used, and the major design decisions behind them.</w:t>
      </w:r>
    </w:p>
    <w:p>
      <w:pPr>
        <w:pStyle w:val="Heading1"/>
      </w:pPr>
      <w:r>
        <w:t>1. Solution structure</w:t>
      </w:r>
    </w:p>
    <w:p>
      <w:r>
        <w:rPr>
          <w:i w:val="0"/>
        </w:rPr>
        <w:t>The solution is split into seven projects along clear responsibility boundaries. Dependencies flow in one direction only — from presentation down to the domain — so the computational engine has no knowledge of the user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9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Project reference graph (arrows point to the referenced project).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6768"/>
            <w:shd w:val="clear" w:fill="1F3864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024"/>
          </w:tcPr>
          <w:p>
            <w:r>
              <w:t>Matrix_Library</w:t>
            </w:r>
          </w:p>
        </w:tc>
        <w:tc>
          <w:tcPr>
            <w:tcW w:type="dxa" w:w="2448"/>
          </w:tcPr>
          <w:p>
            <w:r>
              <w:t>net10.0</w:t>
            </w:r>
          </w:p>
        </w:tc>
        <w:tc>
          <w:tcPr>
            <w:tcW w:type="dxa" w:w="6768"/>
          </w:tcPr>
          <w:p>
            <w:r>
              <w:t>Sparse matrices and the linear solver (wraps CSparse).</w:t>
            </w:r>
          </w:p>
        </w:tc>
      </w:tr>
      <w:tr>
        <w:tc>
          <w:tcPr>
            <w:tcW w:type="dxa" w:w="3024"/>
          </w:tcPr>
          <w:p>
            <w:r>
              <w:t>StructuralLoads</w:t>
            </w:r>
          </w:p>
        </w:tc>
        <w:tc>
          <w:tcPr>
            <w:tcW w:type="dxa" w:w="2448"/>
          </w:tcPr>
          <w:p>
            <w:r>
              <w:t>net10.0</w:t>
            </w:r>
          </w:p>
        </w:tc>
        <w:tc>
          <w:tcPr>
            <w:tcW w:type="dxa" w:w="6768"/>
          </w:tcPr>
          <w:p>
            <w:r>
              <w:t>Load natures, limit states, and code load-combination generators (ASCE 7 / EN 1990 / TBDY).</w:t>
            </w:r>
          </w:p>
        </w:tc>
      </w:tr>
      <w:tr>
        <w:tc>
          <w:tcPr>
            <w:tcW w:type="dxa" w:w="3024"/>
          </w:tcPr>
          <w:p>
            <w:r>
              <w:t>FrameAnalysisProgram</w:t>
            </w:r>
          </w:p>
        </w:tc>
        <w:tc>
          <w:tcPr>
            <w:tcW w:type="dxa" w:w="2448"/>
          </w:tcPr>
          <w:p>
            <w:r>
              <w:t>net10.0</w:t>
            </w:r>
          </w:p>
        </w:tc>
        <w:tc>
          <w:tcPr>
            <w:tcW w:type="dxa" w:w="6768"/>
          </w:tcPr>
          <w:p>
            <w:r>
              <w:t>The analysis engine: structural model, assembly, solve, and result recovery.</w:t>
            </w:r>
          </w:p>
        </w:tc>
      </w:tr>
      <w:tr>
        <w:tc>
          <w:tcPr>
            <w:tcW w:type="dxa" w:w="3024"/>
          </w:tcPr>
          <w:p>
            <w:r>
              <w:t>MemberDesigner</w:t>
            </w:r>
          </w:p>
        </w:tc>
        <w:tc>
          <w:tcPr>
            <w:tcW w:type="dxa" w:w="2448"/>
          </w:tcPr>
          <w:p>
            <w:r>
              <w:t>net10.0</w:t>
            </w:r>
          </w:p>
        </w:tc>
        <w:tc>
          <w:tcPr>
            <w:tcW w:type="dxa" w:w="6768"/>
          </w:tcPr>
          <w:p>
            <w:r>
              <w:t>Timber member-design checks for EC5, the Turkish code, and US/NDS.</w:t>
            </w:r>
          </w:p>
        </w:tc>
      </w:tr>
      <w:tr>
        <w:tc>
          <w:tcPr>
            <w:tcW w:type="dxa" w:w="3024"/>
          </w:tcPr>
          <w:p>
            <w:r>
              <w:t>FrameAnalysis.UI.Core</w:t>
            </w:r>
          </w:p>
        </w:tc>
        <w:tc>
          <w:tcPr>
            <w:tcW w:type="dxa" w:w="2448"/>
          </w:tcPr>
          <w:p>
            <w:r>
              <w:t>net10.0 (no WPF)</w:t>
            </w:r>
          </w:p>
        </w:tc>
        <w:tc>
          <w:tcPr>
            <w:tcW w:type="dxa" w:w="6768"/>
          </w:tcPr>
          <w:p>
            <w:r>
              <w:t>Document model, mappers, scene/rendering abstraction, services, view-models.</w:t>
            </w:r>
          </w:p>
        </w:tc>
      </w:tr>
      <w:tr>
        <w:tc>
          <w:tcPr>
            <w:tcW w:type="dxa" w:w="3024"/>
          </w:tcPr>
          <w:p>
            <w:r>
              <w:t>FrameAnalysis.UI</w:t>
            </w:r>
          </w:p>
        </w:tc>
        <w:tc>
          <w:tcPr>
            <w:tcW w:type="dxa" w:w="2448"/>
          </w:tcPr>
          <w:p>
            <w:r>
              <w:t>net10.0-windows (WPF)</w:t>
            </w:r>
          </w:p>
        </w:tc>
        <w:tc>
          <w:tcPr>
            <w:tcW w:type="dxa" w:w="6768"/>
          </w:tcPr>
          <w:p>
            <w:r>
              <w:t>Views, App, and the concrete WPF renderer. The only project that references WPF.</w:t>
            </w:r>
          </w:p>
        </w:tc>
      </w:tr>
      <w:tr>
        <w:tc>
          <w:tcPr>
            <w:tcW w:type="dxa" w:w="3024"/>
          </w:tcPr>
          <w:p>
            <w:r>
              <w:t>FEMTestProject</w:t>
            </w:r>
          </w:p>
        </w:tc>
        <w:tc>
          <w:tcPr>
            <w:tcW w:type="dxa" w:w="2448"/>
          </w:tcPr>
          <w:p>
            <w:r>
              <w:t>net10.0</w:t>
            </w:r>
          </w:p>
        </w:tc>
        <w:tc>
          <w:tcPr>
            <w:tcW w:type="dxa" w:w="6768"/>
          </w:tcPr>
          <w:p>
            <w:r>
              <w:t>xUnit tests (88) covering assembly, elements, recovery, mapping, and design.</w:t>
            </w:r>
          </w:p>
        </w:tc>
      </w:tr>
    </w:tbl>
    <w:p/>
    <w:p>
      <w:r>
        <w:rPr>
          <w:i/>
          <w:color w:val="555555"/>
        </w:rPr>
        <w:t>FrameAnalysis.UI also references FrameAnalysisProgram and StructuralLoads directly so XAML can bind to domain enums (e.g. MomentRelease, LoadDirection, load nature).</w:t>
      </w:r>
    </w:p>
    <w:p>
      <w:pPr>
        <w:pStyle w:val="Heading1"/>
      </w:pPr>
      <w:r>
        <w:t>2. Architecture and data flow</w:t>
      </w:r>
    </w:p>
    <w:p>
      <w:r>
        <w:rPr>
          <w:i w:val="0"/>
        </w:rPr>
        <w:t>The application follows the Model-View-ViewModel (MVVM) pattern. The editable document is the single source of truth; the picture is rebuilt live on every edit, while the analysis and the design checks run on demand, on a background thread.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6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 — Data flow: live geometry (top) vs. on-demand analysis and design (async).</w:t>
      </w:r>
    </w:p>
    <w:p>
      <w:r>
        <w:rPr>
          <w:i w:val="0"/>
        </w:rPr>
        <w:t>Three execution paths share the same document:</w:t>
      </w:r>
    </w:p>
    <w:p>
      <w:pPr>
        <w:pStyle w:val="ListBullet"/>
      </w:pPr>
      <w:r>
        <w:t>Live geometry — every edit to ProjectDocument raises a change event; MainViewModel rebuilds a Scene through SceneBuilder, and the renderer redraws. No solving occurs.</w:t>
      </w:r>
    </w:p>
    <w:p>
      <w:pPr>
        <w:pStyle w:val="ListBullet"/>
      </w:pPr>
      <w:r>
        <w:t>On Run Analysis — ModelInputMapper snapshots the document to a plain DTO on the UI thread, then StructureModelBuilder + FrameAnalyzer run on a background thread and return a FrameAnalysisResult. The result feeds the deflected-shape overlay and the diagrams popup.</w:t>
      </w:r>
    </w:p>
    <w:p>
      <w:pPr>
        <w:pStyle w:val="ListBullet"/>
      </w:pPr>
      <w:r>
        <w:t>On Run Design — DesignInputMapper turns the analysis demands (the per-member station envelope) plus the design settings into a design context that ATimberDesigner checks.</w:t>
      </w:r>
    </w:p>
    <w:p>
      <w:r>
        <w:rPr>
          <w:i w:val="0"/>
        </w:rPr>
        <w:t>Two boundaries keep the layers decoupled: the mappers (Document ↔ solver DTO) and the Scene (the renderer only ever sees plain geometry — never solver types or WPF types). Swapping the 2D canvas for a 3D renderer means writing a new IStructuralRenderer and a 3D SceneBuilder; nothing upstream changes.</w:t>
      </w:r>
    </w:p>
    <w:p>
      <w:pPr>
        <w:pStyle w:val="Heading1"/>
      </w:pPr>
      <w:r>
        <w:t>3. Design patterns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5040"/>
            <w:shd w:val="clear" w:fill="1F3864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MVVM</w:t>
            </w:r>
          </w:p>
        </w:tc>
        <w:tc>
          <w:tcPr>
            <w:tcW w:type="dxa" w:w="4320"/>
          </w:tcPr>
          <w:p>
            <w:r>
              <w:t>MainViewModel, row VMs (CommunityToolkit.Mvvm)</w:t>
            </w:r>
          </w:p>
        </w:tc>
        <w:tc>
          <w:tcPr>
            <w:tcW w:type="dxa" w:w="5040"/>
          </w:tcPr>
          <w:p>
            <w:r>
              <w:t>Separate state/commands from the WPF views; enables testing the UI logic without WPF.</w:t>
            </w:r>
          </w:p>
        </w:tc>
      </w:tr>
      <w:tr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4320"/>
          </w:tcPr>
          <w:p>
            <w:r>
              <w:t>ProjectDocument : IDocumentChangeNotifier; ObservableObject</w:t>
            </w:r>
          </w:p>
        </w:tc>
        <w:tc>
          <w:tcPr>
            <w:tcW w:type="dxa" w:w="5040"/>
          </w:tcPr>
          <w:p>
            <w:r>
              <w:t>One aggregated Changed event drives the live re-render from a single place.</w:t>
            </w:r>
          </w:p>
        </w:tc>
      </w:tr>
      <w:tr>
        <w:tc>
          <w:tcPr>
            <w:tcW w:type="dxa" w:w="2880"/>
          </w:tcPr>
          <w:p>
            <w:r>
              <w:t>Adapter / Mapper</w:t>
            </w:r>
          </w:p>
        </w:tc>
        <w:tc>
          <w:tcPr>
            <w:tcW w:type="dxa" w:w="4320"/>
          </w:tcPr>
          <w:p>
            <w:r>
              <w:t>ModelInputMapper, DesignInputMapper</w:t>
            </w:r>
          </w:p>
        </w:tc>
        <w:tc>
          <w:tcPr>
            <w:tcW w:type="dxa" w:w="5040"/>
          </w:tcPr>
          <w:p>
            <w:r>
              <w:t>Translate the UI object model to the solver/design DTOs at a single boundary.</w:t>
            </w:r>
          </w:p>
        </w:tc>
      </w:tr>
      <w:tr>
        <w:tc>
          <w:tcPr>
            <w:tcW w:type="dxa" w:w="2880"/>
          </w:tcPr>
          <w:p>
            <w:r>
              <w:t>Bridge / isolation</w:t>
            </w:r>
          </w:p>
        </w:tc>
        <w:tc>
          <w:tcPr>
            <w:tcW w:type="dxa" w:w="4320"/>
          </w:tcPr>
          <w:p>
            <w:r>
              <w:t>IStructuralRenderer + Scene</w:t>
            </w:r>
          </w:p>
        </w:tc>
        <w:tc>
          <w:tcPr>
            <w:tcW w:type="dxa" w:w="5040"/>
          </w:tcPr>
          <w:p>
            <w:r>
              <w:t>Decouple presentation geometry from the drawing technology (2D→3D swap).</w:t>
            </w:r>
          </w:p>
        </w:tc>
      </w:tr>
      <w:tr>
        <w:tc>
          <w:tcPr>
            <w:tcW w:type="dxa" w:w="2880"/>
          </w:tcPr>
          <w:p>
            <w:r>
              <w:t>Dependency injection / composition</w:t>
            </w:r>
          </w:p>
        </w:tc>
        <w:tc>
          <w:tcPr>
            <w:tcW w:type="dxa" w:w="4320"/>
          </w:tcPr>
          <w:p>
            <w:r>
              <w:t>FrameAnalyzer composes its services</w:t>
            </w:r>
          </w:p>
        </w:tc>
        <w:tc>
          <w:tcPr>
            <w:tcW w:type="dxa" w:w="5040"/>
          </w:tcPr>
          <w:p>
            <w:r>
              <w:t>Each step (assembly, solve, recovery, validation) is an injected collaborator — testable and replaceable.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ILinearSolver; per-code design provider; load-combination generators</w:t>
            </w:r>
          </w:p>
        </w:tc>
        <w:tc>
          <w:tcPr>
            <w:tcW w:type="dxa" w:w="5040"/>
          </w:tcPr>
          <w:p>
            <w:r>
              <w:t>Swap the algorithm (solver, design code, combination set) without touching callers.</w:t>
            </w:r>
          </w:p>
        </w:tc>
      </w:tr>
      <w:tr>
        <w:tc>
          <w:tcPr>
            <w:tcW w:type="dxa" w:w="2880"/>
          </w:tcPr>
          <w:p>
            <w:r>
              <w:t>Template Method / polymorphism</w:t>
            </w:r>
          </w:p>
        </w:tc>
        <w:tc>
          <w:tcPr>
            <w:tcW w:type="dxa" w:w="4320"/>
          </w:tcPr>
          <w:p>
            <w:r>
              <w:t>StructuralElement2D ← FrameElement2D, TrussElement2D</w:t>
            </w:r>
          </w:p>
        </w:tc>
        <w:tc>
          <w:tcPr>
            <w:tcW w:type="dxa" w:w="5040"/>
          </w:tcPr>
          <w:p>
            <w:r>
              <w:t>Shared element interface; each type supplies its own stiffness/transform.</w:t>
            </w:r>
          </w:p>
        </w:tc>
      </w:tr>
      <w:tr>
        <w:tc>
          <w:tcPr>
            <w:tcW w:type="dxa" w:w="2880"/>
          </w:tcPr>
          <w:p>
            <w:r>
              <w:t>Interface segregation</w:t>
            </w:r>
          </w:p>
        </w:tc>
        <w:tc>
          <w:tcPr>
            <w:tcW w:type="dxa" w:w="4320"/>
          </w:tcPr>
          <w:p>
            <w:r>
              <w:t>ILoad / INodalLoad / IMemberLoad; ITimberDesignCheck</w:t>
            </w:r>
          </w:p>
        </w:tc>
        <w:tc>
          <w:tcPr>
            <w:tcW w:type="dxa" w:w="5040"/>
          </w:tcPr>
          <w:p>
            <w:r>
              <w:t>Loads and design checks are small, focused contracts with many implementations.</w:t>
            </w:r>
          </w:p>
        </w:tc>
      </w:tr>
      <w:tr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4320"/>
          </w:tcPr>
          <w:p>
            <w:r>
              <w:t>TimberDesignCheckInputFactory; AnalysisService.CreateDefault</w:t>
            </w:r>
          </w:p>
        </w:tc>
        <w:tc>
          <w:tcPr>
            <w:tcW w:type="dxa" w:w="5040"/>
          </w:tcPr>
          <w:p>
            <w:r>
              <w:t>Build the right per-code check inputs / a fully-wired analyzer.</w:t>
            </w:r>
          </w:p>
        </w:tc>
      </w:tr>
      <w:tr>
        <w:tc>
          <w:tcPr>
            <w:tcW w:type="dxa" w:w="2880"/>
          </w:tcPr>
          <w:p>
            <w:r>
              <w:t>Service layer (async)</w:t>
            </w:r>
          </w:p>
        </w:tc>
        <w:tc>
          <w:tcPr>
            <w:tcW w:type="dxa" w:w="4320"/>
          </w:tcPr>
          <w:p>
            <w:r>
              <w:t>IAnalysisService, IDesignService</w:t>
            </w:r>
          </w:p>
        </w:tc>
        <w:tc>
          <w:tcPr>
            <w:tcW w:type="dxa" w:w="5040"/>
          </w:tcPr>
          <w:p>
            <w:r>
              <w:t>Wrap the heavy engine calls behind async, non-crashing services.</w:t>
            </w:r>
          </w:p>
        </w:tc>
      </w:tr>
      <w:tr>
        <w:tc>
          <w:tcPr>
            <w:tcW w:type="dxa" w:w="2880"/>
          </w:tcPr>
          <w:p>
            <w:r>
              <w:t>Attached behavior</w:t>
            </w:r>
          </w:p>
        </w:tc>
        <w:tc>
          <w:tcPr>
            <w:tcW w:type="dxa" w:w="4320"/>
          </w:tcPr>
          <w:p>
            <w:r>
              <w:t>DoubleClickCommand</w:t>
            </w:r>
          </w:p>
        </w:tc>
        <w:tc>
          <w:tcPr>
            <w:tcW w:type="dxa" w:w="5040"/>
          </w:tcPr>
          <w:p>
            <w:r>
              <w:t>Bind a double-click to a command inside a DataTemplate (where InputBindings can't).</w:t>
            </w:r>
          </w:p>
        </w:tc>
      </w:tr>
    </w:tbl>
    <w:p/>
    <w:p>
      <w:pPr>
        <w:pStyle w:val="Heading1"/>
      </w:pPr>
      <w:r>
        <w:t>4. The analysis engine</w:t>
      </w:r>
    </w:p>
    <w:p>
      <w:r>
        <w:rPr>
          <w:i w:val="0"/>
        </w:rPr>
        <w:t>FrameAnalyzer is an orchestrator built by composition: it holds the DOF numbering, stiffness assembly, load-vector and settlement builders, the linear solver, and the recovery services, plus the model validator. Calling Analyze runs validation, assembles and solves the system, then recovers displacements, reactions, element end-forces, and the per-member station results (section forces + deflected shape).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49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g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3 — Analysis engine: composition (FrameAnalyzer) and polymorphism (elements, loads, solver).</w:t>
      </w:r>
    </w:p>
    <w:p>
      <w:pPr>
        <w:pStyle w:val="ListBullet"/>
      </w:pPr>
      <w:r>
        <w:t>StructureModel aggregates nodes, elements, supports, and loads — a plain object graph.</w:t>
      </w:r>
    </w:p>
    <w:p>
      <w:pPr>
        <w:pStyle w:val="ListBullet"/>
      </w:pPr>
      <w:r>
        <w:t>StructuralElement2D is the abstract element; FrameElement2D (6 DOF, bending + axial) and TrussElement2D (4 DOF, axial) provide their own stiffness and rotation matrices.</w:t>
      </w:r>
    </w:p>
    <w:p>
      <w:pPr>
        <w:pStyle w:val="ListBullet"/>
      </w:pPr>
      <w:r>
        <w:t>Loads implement ILoad / INodalLoad / IMemberLoad, so the assembler and recovery treat nodal loads, UDLs, point loads, and temperature loads uniformly.</w:t>
      </w:r>
    </w:p>
    <w:p>
      <w:pPr>
        <w:pStyle w:val="ListBullet"/>
      </w:pPr>
      <w:r>
        <w:t>ILinearSolver hides the numerical backend (CSparseCholeskySolver), so the solver can be replaced without touching the analyzer.</w:t>
      </w:r>
    </w:p>
    <w:p>
      <w:pPr>
        <w:pStyle w:val="ListBullet"/>
      </w:pPr>
      <w:r>
        <w:t>SectionForceRecovery samples N, V, M and the Hermite deflected shape at station points and fills FrameAnalysisResult.MemberStations — the single source of truth for the diagrams, the deflected overlay, and the design envelope.</w:t>
      </w:r>
    </w:p>
    <w:p>
      <w:pPr>
        <w:pStyle w:val="Heading1"/>
      </w:pPr>
      <w:r>
        <w:t>5. The design module</w:t>
      </w:r>
    </w:p>
    <w:p>
      <w:r>
        <w:rPr>
          <w:i w:val="0"/>
        </w:rPr>
        <w:t>The design module checks each member against a timber code. ATimberDesigner orchestrates the checks: it asks a provider for the per-code set of checks, asks a factory to build their inputs, orders them by their declared dependencies, and runs them (independent checks in parallel). The code (EC5 / TR / US) selects which concrete checks and inputs are used — a Strategy chosen by eTimberCode rather than by subclassing the designer.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976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s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4 — Design module: per-code Strategy (provider selects checks) + Factory (check inputs).</w:t>
      </w:r>
    </w:p>
    <w:p>
      <w:pPr>
        <w:pStyle w:val="ListBullet"/>
      </w:pPr>
      <w:r>
        <w:t>DesignInputMapper (in UI.Core) bridges the analysis result + the member parameters into a TimberMemberDesignContext, using the per-member station envelope for the demands.</w:t>
      </w:r>
    </w:p>
    <w:p>
      <w:pPr>
        <w:pStyle w:val="ListBullet"/>
      </w:pPr>
      <w:r>
        <w:t>TimberMaterialDatabase supplies the published strength values (EN 338 / EN 14080, NDS species + grade) so picking a grade auto-fills the design values.</w:t>
      </w:r>
    </w:p>
    <w:p>
      <w:pPr>
        <w:pStyle w:val="ListBullet"/>
      </w:pPr>
      <w:r>
        <w:t>Each check (bending, shear, tension, compression, combined) implements ITimberDesignCheck and exists in EC5, TR, and US variants.</w:t>
      </w:r>
    </w:p>
    <w:p>
      <w:pPr>
        <w:pStyle w:val="Heading1"/>
      </w:pPr>
      <w:r>
        <w:t>6. Major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5616"/>
            <w:shd w:val="clear" w:fill="1F3864"/>
          </w:tcPr>
          <w:p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448"/>
          </w:tcPr>
          <w:p>
            <w:r>
              <w:t>Project split</w:t>
            </w:r>
          </w:p>
        </w:tc>
        <w:tc>
          <w:tcPr>
            <w:tcW w:type="dxa" w:w="4176"/>
          </w:tcPr>
          <w:p>
            <w:r>
              <w:t>FrameAnalysis.UI.Core (no WPF) vs FrameAnalysis.UI (WPF)</w:t>
            </w:r>
          </w:p>
        </w:tc>
        <w:tc>
          <w:tcPr>
            <w:tcW w:type="dxa" w:w="5616"/>
          </w:tcPr>
          <w:p>
            <w:r>
              <w:t>Makes “no WPF in the model/logic” a compile-time guarantee and lets the tests run the UI logic without WPF.</w:t>
            </w:r>
          </w:p>
        </w:tc>
      </w:tr>
      <w:tr>
        <w:tc>
          <w:tcPr>
            <w:tcW w:type="dxa" w:w="2448"/>
          </w:tcPr>
          <w:p>
            <w:r>
              <w:t>Source of truth</w:t>
            </w:r>
          </w:p>
        </w:tc>
        <w:tc>
          <w:tcPr>
            <w:tcW w:type="dxa" w:w="4176"/>
          </w:tcPr>
          <w:p>
            <w:r>
              <w:t>ProjectDocument (observable VMs); DTO only at the solver boundary</w:t>
            </w:r>
          </w:p>
        </w:tc>
        <w:tc>
          <w:tcPr>
            <w:tcW w:type="dxa" w:w="5616"/>
          </w:tcPr>
          <w:p>
            <w:r>
              <w:t>Grids bind to live row VMs; cross-row links are object references, so insert/delete/reorder stay safe.</w:t>
            </w:r>
          </w:p>
        </w:tc>
      </w:tr>
      <w:tr>
        <w:tc>
          <w:tcPr>
            <w:tcW w:type="dxa" w:w="2448"/>
          </w:tcPr>
          <w:p>
            <w:r>
              <w:t>Renderer input</w:t>
            </w:r>
          </w:p>
        </w:tc>
        <w:tc>
          <w:tcPr>
            <w:tcW w:type="dxa" w:w="4176"/>
          </w:tcPr>
          <w:p>
            <w:r>
              <w:t>A plain Scene; no solver or WPF types in the interface</w:t>
            </w:r>
          </w:p>
        </w:tc>
        <w:tc>
          <w:tcPr>
            <w:tcW w:type="dxa" w:w="5616"/>
          </w:tcPr>
          <w:p>
            <w:r>
              <w:t>Decouples the drawing technology; a 3D renderer is a new IStructuralRenderer + SceneBuilder.</w:t>
            </w:r>
          </w:p>
        </w:tc>
      </w:tr>
      <w:tr>
        <w:tc>
          <w:tcPr>
            <w:tcW w:type="dxa" w:w="2448"/>
          </w:tcPr>
          <w:p>
            <w:r>
              <w:t>Live vs on-demand</w:t>
            </w:r>
          </w:p>
        </w:tc>
        <w:tc>
          <w:tcPr>
            <w:tcW w:type="dxa" w:w="4176"/>
          </w:tcPr>
          <w:p>
            <w:r>
              <w:t>Geometry re-renders on every edit; analysis/design run on explicit buttons, async</w:t>
            </w:r>
          </w:p>
        </w:tc>
        <w:tc>
          <w:tcPr>
            <w:tcW w:type="dxa" w:w="5616"/>
          </w:tcPr>
          <w:p>
            <w:r>
              <w:t>Keeps the UI responsive; heavy work never blocks the UI thread.</w:t>
            </w:r>
          </w:p>
        </w:tc>
      </w:tr>
      <w:tr>
        <w:tc>
          <w:tcPr>
            <w:tcW w:type="dxa" w:w="2448"/>
          </w:tcPr>
          <w:p>
            <w:r>
              <w:t>Threading</w:t>
            </w:r>
          </w:p>
        </w:tc>
        <w:tc>
          <w:tcPr>
            <w:tcW w:type="dxa" w:w="4176"/>
          </w:tcPr>
          <w:p>
            <w:r>
              <w:t>Map document → DTO on the UI thread, then Task.Run the build + solve</w:t>
            </w:r>
          </w:p>
        </w:tc>
        <w:tc>
          <w:tcPr>
            <w:tcW w:type="dxa" w:w="5616"/>
          </w:tcPr>
          <w:p>
            <w:r>
              <w:t>The non-thread-safe document is never touched from the background task.</w:t>
            </w:r>
          </w:p>
        </w:tc>
      </w:tr>
      <w:tr>
        <w:tc>
          <w:tcPr>
            <w:tcW w:type="dxa" w:w="2448"/>
          </w:tcPr>
          <w:p>
            <w:r>
              <w:t>Error handling</w:t>
            </w:r>
          </w:p>
        </w:tc>
        <w:tc>
          <w:tcPr>
            <w:tcW w:type="dxa" w:w="4176"/>
          </w:tcPr>
          <w:p>
            <w:r>
              <w:t>Never crash: catch StructuralAnalysisException, surface ValidationMessages</w:t>
            </w:r>
          </w:p>
        </w:tc>
        <w:tc>
          <w:tcPr>
            <w:tcW w:type="dxa" w:w="5616"/>
          </w:tcPr>
          <w:p>
            <w:r>
              <w:t>An unstable/under-restrained model is explained, not thrown.</w:t>
            </w:r>
          </w:p>
        </w:tc>
      </w:tr>
      <w:tr>
        <w:tc>
          <w:tcPr>
            <w:tcW w:type="dxa" w:w="2448"/>
          </w:tcPr>
          <w:p>
            <w:r>
              <w:t>Design-code location</w:t>
            </w:r>
          </w:p>
        </w:tc>
        <w:tc>
          <w:tcPr>
            <w:tcW w:type="dxa" w:w="4176"/>
          </w:tcPr>
          <w:p>
            <w:r>
              <w:t>In the design layer (project-level), not global setup</w:t>
            </w:r>
          </w:p>
        </w:tc>
        <w:tc>
          <w:tcPr>
            <w:tcW w:type="dxa" w:w="5616"/>
          </w:tcPr>
          <w:p>
            <w:r>
              <w:t>Analysis stays code-agnostic; grade values are code-family specific, so one code per project keeps them coherent.</w:t>
            </w:r>
          </w:p>
        </w:tc>
      </w:tr>
      <w:tr>
        <w:tc>
          <w:tcPr>
            <w:tcW w:type="dxa" w:w="2448"/>
          </w:tcPr>
          <w:p>
            <w:r>
              <w:t>Identifiers</w:t>
            </w:r>
          </w:p>
        </w:tc>
        <w:tc>
          <w:tcPr>
            <w:tcW w:type="dxa" w:w="4176"/>
          </w:tcPr>
          <w:p>
            <w:r>
              <w:t>Implicit, sequential, assigned at export by the mapper</w:t>
            </w:r>
          </w:p>
        </w:tc>
        <w:tc>
          <w:tcPr>
            <w:tcW w:type="dxa" w:w="5616"/>
          </w:tcPr>
          <w:p>
            <w:r>
              <w:t>Raw table indices are never exposed; a stale id can’t corrupt the export.</w:t>
            </w:r>
          </w:p>
        </w:tc>
      </w:tr>
      <w:tr>
        <w:tc>
          <w:tcPr>
            <w:tcW w:type="dxa" w:w="2448"/>
          </w:tcPr>
          <w:p>
            <w:r>
              <w:t>3D readiness</w:t>
            </w:r>
          </w:p>
        </w:tc>
        <w:tc>
          <w:tcPr>
            <w:tcW w:type="dxa" w:w="4176"/>
          </w:tcPr>
          <w:p>
            <w:r>
              <w:t>Keep the hidden Z column; the renderer interface enables a UI swap</w:t>
            </w:r>
          </w:p>
        </w:tc>
        <w:tc>
          <w:tcPr>
            <w:tcW w:type="dxa" w:w="5616"/>
          </w:tcPr>
          <w:p>
            <w:r>
              <w:t>The solver stays 2D, but the architecture does not block a future 3D view.</w:t>
            </w:r>
          </w:p>
        </w:tc>
      </w:tr>
      <w:tr>
        <w:tc>
          <w:tcPr>
            <w:tcW w:type="dxa" w:w="2448"/>
          </w:tcPr>
          <w:p>
            <w:r>
              <w:t>Post-processing</w:t>
            </w:r>
          </w:p>
        </w:tc>
        <w:tc>
          <w:tcPr>
            <w:tcW w:type="dxa" w:w="4176"/>
          </w:tcPr>
          <w:p>
            <w:r>
              <w:t>Station recovery lives in the engine, on the result</w:t>
            </w:r>
          </w:p>
        </w:tc>
        <w:tc>
          <w:tcPr>
            <w:tcW w:type="dxa" w:w="5616"/>
          </w:tcPr>
          <w:p>
            <w:r>
              <w:t>One set of section forces feeds the diagrams, the deflected overlay, and the design envelope.</w:t>
            </w:r>
          </w:p>
        </w:tc>
      </w:tr>
      <w:tr>
        <w:tc>
          <w:tcPr>
            <w:tcW w:type="dxa" w:w="2448"/>
          </w:tcPr>
          <w:p>
            <w:r>
              <w:t>Deflected shape</w:t>
            </w:r>
          </w:p>
        </w:tc>
        <w:tc>
          <w:tcPr>
            <w:tcW w:type="dxa" w:w="4176"/>
          </w:tcPr>
          <w:p>
            <w:r>
              <w:t>Hermite cubic interpolation from the nodal end DOFs</w:t>
            </w:r>
          </w:p>
        </w:tc>
        <w:tc>
          <w:tcPr>
            <w:tcW w:type="dxa" w:w="5616"/>
          </w:tcPr>
          <w:p>
            <w:r>
              <w:t>Matches beam theory and needs only the displacements + rotations the solver already returns.</w:t>
            </w:r>
          </w:p>
        </w:tc>
      </w:tr>
      <w:tr>
        <w:tc>
          <w:tcPr>
            <w:tcW w:type="dxa" w:w="2448"/>
          </w:tcPr>
          <w:p>
            <w:r>
              <w:t>MVVM library</w:t>
            </w:r>
          </w:p>
        </w:tc>
        <w:tc>
          <w:tcPr>
            <w:tcW w:type="dxa" w:w="4176"/>
          </w:tcPr>
          <w:p>
            <w:r>
              <w:t>CommunityToolkit.Mvvm</w:t>
            </w:r>
          </w:p>
        </w:tc>
        <w:tc>
          <w:tcPr>
            <w:tcW w:type="dxa" w:w="5616"/>
          </w:tcPr>
          <w:p>
            <w:r>
              <w:t>Source-generated ObservableObject / RelayCommand with no WPF dependency.</w:t>
            </w:r>
          </w:p>
        </w:tc>
      </w:tr>
    </w:tbl>
    <w:p/>
    <w:p>
      <w:pPr>
        <w:pStyle w:val="Heading1"/>
      </w:pPr>
      <w:r>
        <w:t>7. Testing</w:t>
      </w:r>
    </w:p>
    <w:p>
      <w:r>
        <w:rPr>
          <w:i w:val="0"/>
        </w:rPr>
        <w:t>Correctness is locked by an xUnit suite (88 tests) that verifies stiffness assembly, element behaviour, boundary conditions, and result recovery against closed-form solutions (e.g. cantilever and simply-supported beams), plus the mappers, services, and design checks. A separate verification document compares the program against these reference solutions in detail.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