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Theoretical Background</w:t>
      </w:r>
    </w:p>
    <w:p>
      <w:pPr>
        <w:pStyle w:val="Heading2"/>
      </w:pPr>
      <w:r>
        <w:t>3.1 The Direct Stiffness Method</w:t>
      </w:r>
    </w:p>
    <w:p>
      <w:r>
        <w:t>The program analyses structures by the direct stiffness (matrix displacement) method, the standard matrix formulation of linear-elastic structural analysis. The governing relation for the whole structure is</w:t>
      </w:r>
    </w:p>
    <w:p>
      <w:pPr>
        <w:spacing w:before="120" w:after="120"/>
        <w:jc w:val="center"/>
      </w:pPr>
      <w:r>
        <w:rPr>
          <w:b/>
          <w:i w:val="0"/>
        </w:rPr>
        <w:t>K</w:t>
      </w:r>
      <w:r>
        <w:rPr>
          <w:b/>
          <w:i w:val="0"/>
        </w:rPr>
        <w:t xml:space="preserve"> U</w:t>
      </w:r>
      <w:r>
        <w:rPr>
          <w:b w:val="0"/>
          <w:i w:val="0"/>
        </w:rPr>
        <w:t xml:space="preserve"> = </w:t>
      </w:r>
      <w:r>
        <w:rPr>
          <w:b/>
          <w:i w:val="0"/>
        </w:rPr>
        <w:t>F</w:t>
      </w:r>
    </w:p>
    <w:p>
      <w:r>
        <w:rPr>
          <w:b w:val="0"/>
          <w:i w:val="0"/>
        </w:rPr>
        <w:t xml:space="preserve">where </w:t>
      </w:r>
      <w:r>
        <w:rPr>
          <w:b/>
          <w:i w:val="0"/>
        </w:rPr>
        <w:t>K</w:t>
      </w:r>
      <w:r>
        <w:rPr>
          <w:b w:val="0"/>
          <w:i w:val="0"/>
        </w:rPr>
        <w:t xml:space="preserve"> is the global stiffness matrix, </w:t>
      </w:r>
      <w:r>
        <w:rPr>
          <w:b/>
          <w:i w:val="0"/>
        </w:rPr>
        <w:t>U</w:t>
      </w:r>
      <w:r>
        <w:rPr>
          <w:b w:val="0"/>
          <w:i w:val="0"/>
        </w:rPr>
        <w:t xml:space="preserve"> the vector of unknown nodal displacements (and rotations), and </w:t>
      </w:r>
      <w:r>
        <w:rPr>
          <w:b/>
          <w:i w:val="0"/>
        </w:rPr>
        <w:t>F</w:t>
      </w:r>
      <w:r>
        <w:rPr>
          <w:b w:val="0"/>
          <w:i w:val="0"/>
        </w:rPr>
        <w:t xml:space="preserve"> the vector of nodal loads. The solution procedure is:</w:t>
      </w:r>
    </w:p>
    <w:p>
      <w:pPr>
        <w:pStyle w:val="ListNumber"/>
      </w:pPr>
      <w:r>
        <w:t>Discretisation and DOF numbering — each node carries up to three in-plane degrees of freedom: two translations (u, v) and one rotation (θ). Truss members use only the two translational DOFs.</w:t>
      </w:r>
    </w:p>
    <w:p>
      <w:pPr>
        <w:pStyle w:val="ListNumber"/>
      </w:pPr>
      <w:r>
        <w:t>Forming the element stiffness matrices in each member’s local axis system.</w:t>
      </w:r>
    </w:p>
    <w:p>
      <w:pPr>
        <w:pStyle w:val="ListNumber"/>
      </w:pPr>
      <w:r>
        <w:t>Transforming each element matrix from local to global coordinates.</w:t>
      </w:r>
    </w:p>
    <w:p>
      <w:pPr>
        <w:pStyle w:val="ListNumber"/>
      </w:pPr>
      <w:r>
        <w:t>Assembling the element contributions into the global matrix K.</w:t>
      </w:r>
    </w:p>
    <w:p>
      <w:pPr>
        <w:pStyle w:val="ListNumber"/>
      </w:pPr>
      <w:r>
        <w:t>Applying the boundary conditions (supports).</w:t>
      </w:r>
    </w:p>
    <w:p>
      <w:pPr>
        <w:pStyle w:val="ListNumber"/>
      </w:pPr>
      <w:r>
        <w:t>Solving the reduced system for the unknown displacements U.</w:t>
      </w:r>
    </w:p>
    <w:p>
      <w:pPr>
        <w:pStyle w:val="ListNumber"/>
      </w:pPr>
      <w:r>
        <w:t>Recovering the support reactions and internal member forces.</w:t>
      </w:r>
    </w:p>
    <w:p>
      <w:pPr>
        <w:pStyle w:val="Heading2"/>
      </w:pPr>
      <w:r>
        <w:t>3.2 Element Stiffness Matrices</w:t>
      </w:r>
    </w:p>
    <w:p>
      <w:r>
        <w:t>Truss element (axial only, 2 DOF per node). Along its local axis, an axial member of axial rigidity EA and length L has:</w:t>
      </w:r>
    </w:p>
    <w:p>
      <w:pPr>
        <w:spacing w:before="120" w:after="120"/>
        <w:jc w:val="center"/>
      </w:pPr>
      <w:r>
        <w:rPr>
          <w:b w:val="0"/>
          <w:i/>
        </w:rPr>
        <w:t>k</w:t>
      </w:r>
      <w:r>
        <w:rPr>
          <w:b w:val="0"/>
          <w:i/>
          <w:vertAlign w:val="subscript"/>
        </w:rPr>
        <w:t>local</w:t>
      </w:r>
      <w:r>
        <w:rPr>
          <w:b w:val="0"/>
          <w:i w:val="0"/>
        </w:rPr>
        <w:t xml:space="preserve"> = (</w:t>
      </w:r>
      <w:r>
        <w:rPr>
          <w:b w:val="0"/>
          <w:i/>
        </w:rPr>
        <w:t>EA</w:t>
      </w:r>
      <w:r>
        <w:rPr>
          <w:b w:val="0"/>
          <w:i w:val="0"/>
        </w:rPr>
        <w:t xml:space="preserve"> / </w:t>
      </w:r>
      <w:r>
        <w:rPr>
          <w:b w:val="0"/>
          <w:i/>
        </w:rPr>
        <w:t>L</w:t>
      </w:r>
      <w:r>
        <w:rPr>
          <w:b w:val="0"/>
          <w:i w:val="0"/>
        </w:rPr>
        <w:t xml:space="preserve"> )</w:t>
      </w:r>
    </w:p>
    <w:tbl>
      <w:tblPr>
        <w:tblW w:type="auto" w:w="0"/>
        <w:jc w:val="center"/>
        <w:tblLayout w:type="fixed"/>
        <w:tblLook w:firstColumn="1" w:firstRow="1" w:lastColumn="0" w:lastRow="0" w:noHBand="0" w:noVBand="1" w:val="04A0"/>
      </w:tblPr>
      <w:tblGrid>
        <w:gridCol w:w="4320"/>
        <w:gridCol w:w="4320"/>
      </w:tblGrid>
      <w:tr>
        <w:tc>
          <w:tcPr>
            <w:tcW w:type="dxa" w:w="864"/>
            <w:tcBorders>
              <w:left w:val="single" w:sz="18" w:color="000000" w:space="0"/>
            </w:tcBorders>
          </w:tcPr>
          <w:p>
            <w:pPr>
              <w:spacing w:after="0"/>
              <w:jc w:val="center"/>
            </w:pPr>
            <w:r>
              <w:rPr>
                <w:rFonts w:ascii="Times New Roman" w:hAnsi="Times New Roman"/>
                <w:i/>
                <w:sz w:val="22"/>
              </w:rPr>
              <w:t>1</w:t>
            </w:r>
          </w:p>
        </w:tc>
        <w:tc>
          <w:tcPr>
            <w:tcW w:type="dxa" w:w="864"/>
            <w:tcBorders>
              <w:right w:val="single" w:sz="18" w:color="000000" w:space="0"/>
            </w:tcBorders>
          </w:tcPr>
          <w:p>
            <w:pPr>
              <w:spacing w:after="0"/>
              <w:jc w:val="center"/>
            </w:pPr>
            <w:r>
              <w:rPr>
                <w:rFonts w:ascii="Times New Roman" w:hAnsi="Times New Roman"/>
                <w:i/>
                <w:sz w:val="22"/>
              </w:rPr>
              <w:t>−1</w:t>
            </w:r>
          </w:p>
        </w:tc>
      </w:tr>
      <w:tr>
        <w:tc>
          <w:tcPr>
            <w:tcW w:type="dxa" w:w="864"/>
            <w:tcBorders>
              <w:left w:val="single" w:sz="18" w:color="000000" w:space="0"/>
            </w:tcBorders>
          </w:tcPr>
          <w:p>
            <w:pPr>
              <w:spacing w:after="0"/>
              <w:jc w:val="center"/>
            </w:pPr>
            <w:r>
              <w:rPr>
                <w:rFonts w:ascii="Times New Roman" w:hAnsi="Times New Roman"/>
                <w:i/>
                <w:sz w:val="22"/>
              </w:rPr>
              <w:t>−1</w:t>
            </w:r>
          </w:p>
        </w:tc>
        <w:tc>
          <w:tcPr>
            <w:tcW w:type="dxa" w:w="864"/>
            <w:tcBorders>
              <w:right w:val="single" w:sz="18" w:color="000000" w:space="0"/>
            </w:tcBorders>
          </w:tcPr>
          <w:p>
            <w:pPr>
              <w:spacing w:after="0"/>
              <w:jc w:val="center"/>
            </w:pPr>
            <w:r>
              <w:rPr>
                <w:rFonts w:ascii="Times New Roman" w:hAnsi="Times New Roman"/>
                <w:i/>
                <w:sz w:val="22"/>
              </w:rPr>
              <w:t>1</w:t>
            </w:r>
          </w:p>
        </w:tc>
      </w:tr>
    </w:tbl>
    <w:p>
      <w:pPr>
        <w:spacing w:after="0"/>
      </w:pPr>
    </w:p>
    <w:p>
      <w:r>
        <w:t>Frame (beam–column) element (6 DOF: axial plus bending at each end). Combining axial (EA) and Euler–Bernoulli bending (EI) behaviour:</w:t>
      </w:r>
    </w:p>
    <w:p>
      <w:pPr>
        <w:spacing w:before="120" w:after="120"/>
        <w:jc w:val="center"/>
      </w:pPr>
      <w:r>
        <w:rPr>
          <w:b w:val="0"/>
          <w:i/>
        </w:rPr>
        <w:t>k</w:t>
      </w:r>
      <w:r>
        <w:rPr>
          <w:b w:val="0"/>
          <w:i/>
          <w:vertAlign w:val="subscript"/>
        </w:rPr>
        <w:t>local</w:t>
      </w:r>
      <w:r>
        <w:rPr>
          <w:b w:val="0"/>
          <w:i w:val="0"/>
        </w:rPr>
        <w:t xml:space="preserve"> =</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1368"/>
            <w:tcBorders>
              <w:left w:val="single" w:sz="18" w:color="000000" w:space="0"/>
            </w:tcBorders>
          </w:tcPr>
          <w:p>
            <w:pPr>
              <w:spacing w:after="0"/>
              <w:jc w:val="center"/>
            </w:pPr>
            <w:r>
              <w:rPr>
                <w:rFonts w:ascii="Times New Roman" w:hAnsi="Times New Roman"/>
                <w:i/>
                <w:sz w:val="18"/>
              </w:rPr>
              <w:t>EA/L</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−EA/L</w:t>
            </w:r>
          </w:p>
        </w:tc>
        <w:tc>
          <w:tcPr>
            <w:tcW w:type="dxa" w:w="1368"/>
          </w:tcPr>
          <w:p>
            <w:pPr>
              <w:spacing w:after="0"/>
              <w:jc w:val="center"/>
            </w:pPr>
            <w:r>
              <w:rPr>
                <w:rFonts w:ascii="Times New Roman" w:hAnsi="Times New Roman"/>
                <w:i/>
                <w:sz w:val="18"/>
              </w:rPr>
              <w:t>0</w:t>
            </w:r>
          </w:p>
        </w:tc>
        <w:tc>
          <w:tcPr>
            <w:tcW w:type="dxa" w:w="1368"/>
            <w:tcBorders>
              <w:right w:val="single" w:sz="18" w:color="000000" w:space="0"/>
            </w:tcBorders>
          </w:tcPr>
          <w:p>
            <w:pPr>
              <w:spacing w:after="0"/>
              <w:jc w:val="center"/>
            </w:pPr>
            <w:r>
              <w:rPr>
                <w:rFonts w:ascii="Times New Roman" w:hAnsi="Times New Roman"/>
                <w:i/>
                <w:sz w:val="18"/>
              </w:rPr>
              <w:t>0</w:t>
            </w:r>
          </w:p>
        </w:tc>
      </w:tr>
      <w:tr>
        <w:tc>
          <w:tcPr>
            <w:tcW w:type="dxa" w:w="1368"/>
            <w:tcBorders>
              <w:left w:val="single" w:sz="18" w:color="000000" w:space="0"/>
            </w:tcBorders>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12EI/L³</w:t>
            </w:r>
          </w:p>
        </w:tc>
        <w:tc>
          <w:tcPr>
            <w:tcW w:type="dxa" w:w="1368"/>
          </w:tcPr>
          <w:p>
            <w:pPr>
              <w:spacing w:after="0"/>
              <w:jc w:val="center"/>
            </w:pPr>
            <w:r>
              <w:rPr>
                <w:rFonts w:ascii="Times New Roman" w:hAnsi="Times New Roman"/>
                <w:i/>
                <w:sz w:val="18"/>
              </w:rPr>
              <w:t>6EI/L²</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−12EI/L³</w:t>
            </w:r>
          </w:p>
        </w:tc>
        <w:tc>
          <w:tcPr>
            <w:tcW w:type="dxa" w:w="1368"/>
            <w:tcBorders>
              <w:right w:val="single" w:sz="18" w:color="000000" w:space="0"/>
            </w:tcBorders>
          </w:tcPr>
          <w:p>
            <w:pPr>
              <w:spacing w:after="0"/>
              <w:jc w:val="center"/>
            </w:pPr>
            <w:r>
              <w:rPr>
                <w:rFonts w:ascii="Times New Roman" w:hAnsi="Times New Roman"/>
                <w:i/>
                <w:sz w:val="18"/>
              </w:rPr>
              <w:t>6EI/L²</w:t>
            </w:r>
          </w:p>
        </w:tc>
      </w:tr>
      <w:tr>
        <w:tc>
          <w:tcPr>
            <w:tcW w:type="dxa" w:w="1368"/>
            <w:tcBorders>
              <w:left w:val="single" w:sz="18" w:color="000000" w:space="0"/>
            </w:tcBorders>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6EI/L²</w:t>
            </w:r>
          </w:p>
        </w:tc>
        <w:tc>
          <w:tcPr>
            <w:tcW w:type="dxa" w:w="1368"/>
          </w:tcPr>
          <w:p>
            <w:pPr>
              <w:spacing w:after="0"/>
              <w:jc w:val="center"/>
            </w:pPr>
            <w:r>
              <w:rPr>
                <w:rFonts w:ascii="Times New Roman" w:hAnsi="Times New Roman"/>
                <w:i/>
                <w:sz w:val="18"/>
              </w:rPr>
              <w:t>4EI/L</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−6EI/L²</w:t>
            </w:r>
          </w:p>
        </w:tc>
        <w:tc>
          <w:tcPr>
            <w:tcW w:type="dxa" w:w="1368"/>
            <w:tcBorders>
              <w:right w:val="single" w:sz="18" w:color="000000" w:space="0"/>
            </w:tcBorders>
          </w:tcPr>
          <w:p>
            <w:pPr>
              <w:spacing w:after="0"/>
              <w:jc w:val="center"/>
            </w:pPr>
            <w:r>
              <w:rPr>
                <w:rFonts w:ascii="Times New Roman" w:hAnsi="Times New Roman"/>
                <w:i/>
                <w:sz w:val="18"/>
              </w:rPr>
              <w:t>2EI/L</w:t>
            </w:r>
          </w:p>
        </w:tc>
      </w:tr>
      <w:tr>
        <w:tc>
          <w:tcPr>
            <w:tcW w:type="dxa" w:w="1368"/>
            <w:tcBorders>
              <w:left w:val="single" w:sz="18" w:color="000000" w:space="0"/>
            </w:tcBorders>
          </w:tcPr>
          <w:p>
            <w:pPr>
              <w:spacing w:after="0"/>
              <w:jc w:val="center"/>
            </w:pPr>
            <w:r>
              <w:rPr>
                <w:rFonts w:ascii="Times New Roman" w:hAnsi="Times New Roman"/>
                <w:i/>
                <w:sz w:val="18"/>
              </w:rPr>
              <w:t>−EA/L</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EA/L</w:t>
            </w:r>
          </w:p>
        </w:tc>
        <w:tc>
          <w:tcPr>
            <w:tcW w:type="dxa" w:w="1368"/>
          </w:tcPr>
          <w:p>
            <w:pPr>
              <w:spacing w:after="0"/>
              <w:jc w:val="center"/>
            </w:pPr>
            <w:r>
              <w:rPr>
                <w:rFonts w:ascii="Times New Roman" w:hAnsi="Times New Roman"/>
                <w:i/>
                <w:sz w:val="18"/>
              </w:rPr>
              <w:t>0</w:t>
            </w:r>
          </w:p>
        </w:tc>
        <w:tc>
          <w:tcPr>
            <w:tcW w:type="dxa" w:w="1368"/>
            <w:tcBorders>
              <w:right w:val="single" w:sz="18" w:color="000000" w:space="0"/>
            </w:tcBorders>
          </w:tcPr>
          <w:p>
            <w:pPr>
              <w:spacing w:after="0"/>
              <w:jc w:val="center"/>
            </w:pPr>
            <w:r>
              <w:rPr>
                <w:rFonts w:ascii="Times New Roman" w:hAnsi="Times New Roman"/>
                <w:i/>
                <w:sz w:val="18"/>
              </w:rPr>
              <w:t>0</w:t>
            </w:r>
          </w:p>
        </w:tc>
      </w:tr>
      <w:tr>
        <w:tc>
          <w:tcPr>
            <w:tcW w:type="dxa" w:w="1368"/>
            <w:tcBorders>
              <w:left w:val="single" w:sz="18" w:color="000000" w:space="0"/>
            </w:tcBorders>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−12EI/L³</w:t>
            </w:r>
          </w:p>
        </w:tc>
        <w:tc>
          <w:tcPr>
            <w:tcW w:type="dxa" w:w="1368"/>
          </w:tcPr>
          <w:p>
            <w:pPr>
              <w:spacing w:after="0"/>
              <w:jc w:val="center"/>
            </w:pPr>
            <w:r>
              <w:rPr>
                <w:rFonts w:ascii="Times New Roman" w:hAnsi="Times New Roman"/>
                <w:i/>
                <w:sz w:val="18"/>
              </w:rPr>
              <w:t>−6EI/L²</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12EI/L³</w:t>
            </w:r>
          </w:p>
        </w:tc>
        <w:tc>
          <w:tcPr>
            <w:tcW w:type="dxa" w:w="1368"/>
            <w:tcBorders>
              <w:right w:val="single" w:sz="18" w:color="000000" w:space="0"/>
            </w:tcBorders>
          </w:tcPr>
          <w:p>
            <w:pPr>
              <w:spacing w:after="0"/>
              <w:jc w:val="center"/>
            </w:pPr>
            <w:r>
              <w:rPr>
                <w:rFonts w:ascii="Times New Roman" w:hAnsi="Times New Roman"/>
                <w:i/>
                <w:sz w:val="18"/>
              </w:rPr>
              <w:t>−6EI/L²</w:t>
            </w:r>
          </w:p>
        </w:tc>
      </w:tr>
      <w:tr>
        <w:tc>
          <w:tcPr>
            <w:tcW w:type="dxa" w:w="1368"/>
            <w:tcBorders>
              <w:left w:val="single" w:sz="18" w:color="000000" w:space="0"/>
            </w:tcBorders>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6EI/L²</w:t>
            </w:r>
          </w:p>
        </w:tc>
        <w:tc>
          <w:tcPr>
            <w:tcW w:type="dxa" w:w="1368"/>
          </w:tcPr>
          <w:p>
            <w:pPr>
              <w:spacing w:after="0"/>
              <w:jc w:val="center"/>
            </w:pPr>
            <w:r>
              <w:rPr>
                <w:rFonts w:ascii="Times New Roman" w:hAnsi="Times New Roman"/>
                <w:i/>
                <w:sz w:val="18"/>
              </w:rPr>
              <w:t>2EI/L</w:t>
            </w:r>
          </w:p>
        </w:tc>
        <w:tc>
          <w:tcPr>
            <w:tcW w:type="dxa" w:w="1368"/>
          </w:tcPr>
          <w:p>
            <w:pPr>
              <w:spacing w:after="0"/>
              <w:jc w:val="center"/>
            </w:pPr>
            <w:r>
              <w:rPr>
                <w:rFonts w:ascii="Times New Roman" w:hAnsi="Times New Roman"/>
                <w:i/>
                <w:sz w:val="18"/>
              </w:rPr>
              <w:t>0</w:t>
            </w:r>
          </w:p>
        </w:tc>
        <w:tc>
          <w:tcPr>
            <w:tcW w:type="dxa" w:w="1368"/>
          </w:tcPr>
          <w:p>
            <w:pPr>
              <w:spacing w:after="0"/>
              <w:jc w:val="center"/>
            </w:pPr>
            <w:r>
              <w:rPr>
                <w:rFonts w:ascii="Times New Roman" w:hAnsi="Times New Roman"/>
                <w:i/>
                <w:sz w:val="18"/>
              </w:rPr>
              <w:t>−6EI/L²</w:t>
            </w:r>
          </w:p>
        </w:tc>
        <w:tc>
          <w:tcPr>
            <w:tcW w:type="dxa" w:w="1368"/>
            <w:tcBorders>
              <w:right w:val="single" w:sz="18" w:color="000000" w:space="0"/>
            </w:tcBorders>
          </w:tcPr>
          <w:p>
            <w:pPr>
              <w:spacing w:after="0"/>
              <w:jc w:val="center"/>
            </w:pPr>
            <w:r>
              <w:rPr>
                <w:rFonts w:ascii="Times New Roman" w:hAnsi="Times New Roman"/>
                <w:i/>
                <w:sz w:val="18"/>
              </w:rPr>
              <w:t>4EI/L</w:t>
            </w:r>
          </w:p>
        </w:tc>
      </w:tr>
    </w:tbl>
    <w:p>
      <w:pPr>
        <w:spacing w:after="0"/>
      </w:pPr>
    </w:p>
    <w:p>
      <w:r>
        <w:t>A moment release (hinge) at an end is handled by statically condensing out the released rotational DOF, yielding the modified stiffness of a member pinned at that end.</w:t>
      </w:r>
    </w:p>
    <w:p>
      <w:pPr>
        <w:pStyle w:val="Heading2"/>
      </w:pPr>
      <w:r>
        <w:t>3.3 Coordinate Transformation and Assembly</w:t>
      </w:r>
    </w:p>
    <w:p>
      <w:r>
        <w:rPr>
          <w:b w:val="0"/>
          <w:i w:val="0"/>
        </w:rPr>
        <w:t xml:space="preserve">Each member is oriented at an angle </w:t>
      </w:r>
      <w:r>
        <w:rPr>
          <w:b w:val="0"/>
          <w:i/>
        </w:rPr>
        <w:t>θ</w:t>
      </w:r>
      <w:r>
        <w:rPr>
          <w:b w:val="0"/>
          <w:i w:val="0"/>
        </w:rPr>
        <w:t xml:space="preserve"> to the global X-axis. With c = cosθ and s = sinθ, a transformation matrix T rotates quantities between the local and global frames, and the element stiffness in global coordinates is</w:t>
      </w:r>
    </w:p>
    <w:p>
      <w:pPr>
        <w:spacing w:before="120" w:after="120"/>
        <w:jc w:val="center"/>
      </w:pPr>
      <w:r>
        <w:rPr>
          <w:b w:val="0"/>
          <w:i/>
        </w:rPr>
        <w:t>k</w:t>
      </w:r>
      <w:r>
        <w:rPr>
          <w:b w:val="0"/>
          <w:i/>
          <w:vertAlign w:val="subscript"/>
        </w:rPr>
        <w:t>global</w:t>
      </w:r>
      <w:r>
        <w:rPr>
          <w:b w:val="0"/>
          <w:i w:val="0"/>
        </w:rPr>
        <w:t xml:space="preserve"> = </w:t>
      </w:r>
      <w:r>
        <w:rPr>
          <w:b/>
          <w:i w:val="0"/>
        </w:rPr>
        <w:t>T</w:t>
      </w:r>
      <w:r>
        <w:rPr>
          <w:b/>
          <w:i w:val="0"/>
          <w:vertAlign w:val="superscript"/>
        </w:rPr>
        <w:t>T</w:t>
      </w:r>
      <w:r>
        <w:rPr>
          <w:b w:val="0"/>
          <w:i w:val="0"/>
        </w:rPr>
        <w:t xml:space="preserve"> </w:t>
      </w:r>
      <w:r>
        <w:rPr>
          <w:b w:val="0"/>
          <w:i/>
        </w:rPr>
        <w:t>k</w:t>
      </w:r>
      <w:r>
        <w:rPr>
          <w:b w:val="0"/>
          <w:i/>
          <w:vertAlign w:val="subscript"/>
        </w:rPr>
        <w:t>local</w:t>
      </w:r>
      <w:r>
        <w:rPr>
          <w:b w:val="0"/>
          <w:i w:val="0"/>
        </w:rPr>
        <w:t xml:space="preserve"> </w:t>
      </w:r>
      <w:r>
        <w:rPr>
          <w:b/>
          <w:i w:val="0"/>
        </w:rPr>
        <w:t>T</w:t>
      </w:r>
    </w:p>
    <w:p>
      <w:r>
        <w:t>The global stiffness matrix is built by direct assembly: each element matrix is added into the rows and columns of K corresponding to its end-node DOFs. Because K is large and mostly zero, it is stored as a sparse matrix.</w:t>
      </w:r>
    </w:p>
    <w:p>
      <w:pPr>
        <w:pStyle w:val="Heading2"/>
      </w:pPr>
      <w:r>
        <w:t>3.4 Loads and Equivalent Nodal Forces</w:t>
      </w:r>
    </w:p>
    <w:p>
      <w:r>
        <w:t>Loads applied between nodes (distributed loads, point loads along a member, thermal effects) cannot enter F directly. They are converted to equivalent nodal loads using the member’s fixed-end forces — the reactions of the member if both ends were clamped — applied to the structure with reversed sign. After solving, these fixed-end forces are added back when recovering the true member end forces. Examples:</w:t>
      </w:r>
    </w:p>
    <w:p>
      <w:pPr>
        <w:pStyle w:val="ListBullet"/>
      </w:pPr>
      <w:r>
        <w:rPr>
          <w:b/>
          <w:i w:val="0"/>
        </w:rPr>
        <w:t xml:space="preserve">Uniform load </w:t>
      </w:r>
      <w:r>
        <w:rPr>
          <w:b w:val="0"/>
          <w:i/>
        </w:rPr>
        <w:t>w</w:t>
      </w:r>
      <w:r>
        <w:rPr>
          <w:b w:val="0"/>
          <w:i w:val="0"/>
        </w:rPr>
        <w:t xml:space="preserve"> over length </w:t>
      </w:r>
      <w:r>
        <w:rPr>
          <w:b w:val="0"/>
          <w:i/>
        </w:rPr>
        <w:t>L</w:t>
      </w:r>
      <w:r>
        <w:rPr>
          <w:b w:val="0"/>
          <w:i w:val="0"/>
        </w:rPr>
        <w:t xml:space="preserve">: fixed-end shears </w:t>
      </w:r>
      <w:r>
        <w:rPr>
          <w:b w:val="0"/>
          <w:i/>
        </w:rPr>
        <w:t>wL</w:t>
      </w:r>
      <w:r>
        <w:rPr>
          <w:b w:val="0"/>
          <w:i w:val="0"/>
        </w:rPr>
        <w:t>/2 and fixed-end moments ±</w:t>
      </w:r>
      <w:r>
        <w:rPr>
          <w:b w:val="0"/>
          <w:i/>
        </w:rPr>
        <w:t>wL</w:t>
      </w:r>
      <w:r>
        <w:rPr>
          <w:b w:val="0"/>
          <w:i/>
          <w:vertAlign w:val="superscript"/>
        </w:rPr>
        <w:t>2</w:t>
      </w:r>
      <w:r>
        <w:rPr>
          <w:b w:val="0"/>
          <w:i w:val="0"/>
        </w:rPr>
        <w:t>/12.</w:t>
      </w:r>
    </w:p>
    <w:p>
      <w:pPr>
        <w:pStyle w:val="ListBullet"/>
      </w:pPr>
      <w:r>
        <w:rPr>
          <w:b/>
          <w:i w:val="0"/>
        </w:rPr>
        <w:t xml:space="preserve">Thermal load: </w:t>
      </w:r>
      <w:r>
        <w:rPr>
          <w:b w:val="0"/>
          <w:i w:val="0"/>
        </w:rPr>
        <w:t xml:space="preserve">a uniform temperature change ΔT induces an equivalent axial force </w:t>
      </w:r>
      <w:r>
        <w:rPr>
          <w:b w:val="0"/>
          <w:i/>
        </w:rPr>
        <w:t>EA</w:t>
      </w:r>
      <w:r>
        <w:rPr>
          <w:b w:val="0"/>
          <w:i w:val="0"/>
        </w:rPr>
        <w:t xml:space="preserve"> α ΔT; a through-depth gradient induces an equivalent end moment.</w:t>
      </w:r>
    </w:p>
    <w:p>
      <w:pPr>
        <w:pStyle w:val="ListBullet"/>
      </w:pPr>
      <w:r>
        <w:rPr>
          <w:b/>
          <w:i w:val="0"/>
        </w:rPr>
        <w:t xml:space="preserve">Support settlement: </w:t>
      </w:r>
      <w:r>
        <w:rPr>
          <w:b w:val="0"/>
          <w:i w:val="0"/>
        </w:rPr>
        <w:t>imposed as a prescribed (non-zero) displacement boundary condition.</w:t>
      </w:r>
    </w:p>
    <w:p>
      <w:pPr>
        <w:pStyle w:val="Heading2"/>
      </w:pPr>
      <w:r>
        <w:t>3.5 Solving the System</w:t>
      </w:r>
    </w:p>
    <w:p>
      <w:r>
        <w:t>Supported DOFs are removed (partitioning the free and restrained DOFs), leaving a reduced, symmetric positive-definite system that is solved for the free displacements. The program uses a sparse Cholesky / LDLᵀ factorisation for efficiency. If the structure is a mechanism (unstable or under-restrained), K is singular; rather than failing, the solver detects this and reports the offending node and DOF.</w:t>
      </w:r>
    </w:p>
    <w:p>
      <w:pPr>
        <w:pStyle w:val="Heading2"/>
      </w:pPr>
      <w:r>
        <w:t>3.6 Recovery of Reactions and Internal Forces</w:t>
      </w:r>
    </w:p>
    <w:p>
      <w:r>
        <w:t>With U known:</w:t>
      </w:r>
    </w:p>
    <w:p>
      <w:pPr>
        <w:pStyle w:val="ListBullet"/>
      </w:pPr>
      <w:r>
        <w:rPr>
          <w:b/>
          <w:i w:val="0"/>
        </w:rPr>
        <w:t xml:space="preserve">Reactions </w:t>
      </w:r>
      <w:r>
        <w:rPr>
          <w:b w:val="0"/>
          <w:i w:val="0"/>
        </w:rPr>
        <w:t>at supports follow from the restrained-DOF rows:</w:t>
      </w:r>
    </w:p>
    <w:p>
      <w:pPr>
        <w:spacing w:before="120" w:after="120"/>
        <w:jc w:val="center"/>
      </w:pPr>
      <w:r>
        <w:rPr>
          <w:b/>
          <w:i w:val="0"/>
        </w:rPr>
        <w:t>R</w:t>
      </w:r>
      <w:r>
        <w:rPr>
          <w:b w:val="0"/>
          <w:i w:val="0"/>
        </w:rPr>
        <w:t xml:space="preserve"> = </w:t>
      </w:r>
      <w:r>
        <w:rPr>
          <w:b/>
          <w:i w:val="0"/>
        </w:rPr>
        <w:t>K</w:t>
      </w:r>
      <w:r>
        <w:rPr>
          <w:b/>
          <w:i w:val="0"/>
        </w:rPr>
        <w:t xml:space="preserve"> U</w:t>
      </w:r>
      <w:r>
        <w:rPr>
          <w:b w:val="0"/>
          <w:i w:val="0"/>
        </w:rPr>
        <w:t xml:space="preserve"> − </w:t>
      </w:r>
      <w:r>
        <w:rPr>
          <w:b/>
          <w:i w:val="0"/>
        </w:rPr>
        <w:t>F</w:t>
      </w:r>
    </w:p>
    <w:p>
      <w:pPr>
        <w:pStyle w:val="ListBullet"/>
      </w:pPr>
      <w:r>
        <w:rPr>
          <w:b/>
          <w:i w:val="0"/>
        </w:rPr>
        <w:t xml:space="preserve">Member end forces </w:t>
      </w:r>
      <w:r>
        <w:rPr>
          <w:b w:val="0"/>
          <w:i w:val="0"/>
        </w:rPr>
        <w:t>are recovered locally as</w:t>
      </w:r>
    </w:p>
    <w:p>
      <w:pPr>
        <w:spacing w:before="120" w:after="120"/>
        <w:jc w:val="center"/>
      </w:pPr>
      <w:r>
        <w:rPr>
          <w:b w:val="0"/>
          <w:i/>
        </w:rPr>
        <w:t>f</w:t>
      </w:r>
      <w:r>
        <w:rPr>
          <w:b w:val="0"/>
          <w:i/>
          <w:vertAlign w:val="subscript"/>
        </w:rPr>
        <w:t>local</w:t>
      </w:r>
      <w:r>
        <w:rPr>
          <w:b w:val="0"/>
          <w:i w:val="0"/>
        </w:rPr>
        <w:t xml:space="preserve"> = </w:t>
      </w:r>
      <w:r>
        <w:rPr>
          <w:b w:val="0"/>
          <w:i/>
        </w:rPr>
        <w:t>k</w:t>
      </w:r>
      <w:r>
        <w:rPr>
          <w:b w:val="0"/>
          <w:i/>
          <w:vertAlign w:val="subscript"/>
        </w:rPr>
        <w:t>local</w:t>
      </w:r>
      <w:r>
        <w:rPr>
          <w:b w:val="0"/>
          <w:i w:val="0"/>
        </w:rPr>
        <w:t xml:space="preserve"> </w:t>
      </w:r>
      <w:r>
        <w:rPr>
          <w:b/>
          <w:i w:val="0"/>
        </w:rPr>
        <w:t>T</w:t>
      </w:r>
      <w:r>
        <w:rPr>
          <w:b w:val="0"/>
          <w:i w:val="0"/>
        </w:rPr>
        <w:t xml:space="preserve"> </w:t>
      </w:r>
      <w:r>
        <w:rPr>
          <w:b w:val="0"/>
          <w:i/>
        </w:rPr>
        <w:t>u</w:t>
      </w:r>
      <w:r>
        <w:rPr>
          <w:b w:val="0"/>
          <w:i/>
          <w:vertAlign w:val="subscript"/>
        </w:rPr>
        <w:t>global</w:t>
      </w:r>
      <w:r>
        <w:rPr>
          <w:b w:val="0"/>
          <w:i w:val="0"/>
        </w:rPr>
        <w:t xml:space="preserve"> + </w:t>
      </w:r>
      <w:r>
        <w:rPr>
          <w:b w:val="0"/>
          <w:i/>
        </w:rPr>
        <w:t>f</w:t>
      </w:r>
      <w:r>
        <w:rPr>
          <w:b w:val="0"/>
          <w:i/>
          <w:vertAlign w:val="subscript"/>
        </w:rPr>
        <w:t>FE</w:t>
      </w:r>
    </w:p>
    <w:p>
      <w:pPr>
        <w:pStyle w:val="ListBullet"/>
      </w:pPr>
      <w:r>
        <w:rPr>
          <w:b/>
          <w:i w:val="0"/>
        </w:rPr>
        <w:t xml:space="preserve">Internal-force diagrams </w:t>
      </w:r>
      <w:r>
        <w:rPr>
          <w:b w:val="0"/>
          <w:i w:val="0"/>
        </w:rPr>
        <w:t>(N, V, M) along the member are obtained by statics from the end forces and the spanwise loads. Extrema are captured exactly — shear-zero locations (moment peaks) and the steps/kinks at point loads are sampled explicitly.</w:t>
      </w:r>
    </w:p>
    <w:p>
      <w:r>
        <w:t>Sign convention: N is tension-positive and M is sagging-positive.</w:t>
      </w:r>
    </w:p>
    <w:p>
      <w:pPr>
        <w:pStyle w:val="Heading2"/>
      </w:pPr>
      <w:r>
        <w:t>3.7 Deflected Shape</w:t>
      </w:r>
    </w:p>
    <w:p>
      <w:r>
        <w:t>The deflected shape is not drawn as straight lines between displaced joints but as the true bending curve, interpolated from the nodal displacements and rotations using the Hermite cubic shape functions of the beam element:</w:t>
      </w:r>
    </w:p>
    <w:p>
      <w:pPr>
        <w:spacing w:before="120" w:after="120"/>
        <w:jc w:val="center"/>
      </w:pPr>
      <w:r>
        <w:rPr>
          <w:b w:val="0"/>
          <w:i/>
        </w:rPr>
        <w:t>v</w:t>
      </w:r>
      <w:r>
        <w:rPr>
          <w:b w:val="0"/>
          <w:i w:val="0"/>
        </w:rPr>
        <w:t>(</w:t>
      </w:r>
      <w:r>
        <w:rPr>
          <w:b w:val="0"/>
          <w:i/>
        </w:rPr>
        <w:t>x</w:t>
      </w:r>
      <w:r>
        <w:rPr>
          <w:b w:val="0"/>
          <w:i w:val="0"/>
        </w:rPr>
        <w:t xml:space="preserve">) = </w:t>
      </w:r>
      <w:r>
        <w:rPr>
          <w:b w:val="0"/>
          <w:i/>
        </w:rPr>
        <w:t>N</w:t>
      </w:r>
      <w:r>
        <w:rPr>
          <w:b w:val="0"/>
          <w:i/>
          <w:vertAlign w:val="subscript"/>
        </w:rPr>
        <w:t>1</w:t>
      </w:r>
      <w:r>
        <w:rPr>
          <w:b w:val="0"/>
          <w:i/>
        </w:rPr>
        <w:t>v</w:t>
      </w:r>
      <w:r>
        <w:rPr>
          <w:b w:val="0"/>
          <w:i/>
          <w:vertAlign w:val="subscript"/>
        </w:rPr>
        <w:t>1</w:t>
      </w:r>
      <w:r>
        <w:rPr>
          <w:b w:val="0"/>
          <w:i w:val="0"/>
        </w:rPr>
        <w:t xml:space="preserve"> + </w:t>
      </w:r>
      <w:r>
        <w:rPr>
          <w:b w:val="0"/>
          <w:i/>
        </w:rPr>
        <w:t>N</w:t>
      </w:r>
      <w:r>
        <w:rPr>
          <w:b w:val="0"/>
          <w:i/>
          <w:vertAlign w:val="subscript"/>
        </w:rPr>
        <w:t>2</w:t>
      </w:r>
      <w:r>
        <w:rPr>
          <w:b w:val="0"/>
          <w:i/>
        </w:rPr>
        <w:t>θ</w:t>
      </w:r>
      <w:r>
        <w:rPr>
          <w:b w:val="0"/>
          <w:i/>
          <w:vertAlign w:val="subscript"/>
        </w:rPr>
        <w:t>1</w:t>
      </w:r>
      <w:r>
        <w:rPr>
          <w:b w:val="0"/>
          <w:i w:val="0"/>
        </w:rPr>
        <w:t xml:space="preserve"> + </w:t>
      </w:r>
      <w:r>
        <w:rPr>
          <w:b w:val="0"/>
          <w:i/>
        </w:rPr>
        <w:t>N</w:t>
      </w:r>
      <w:r>
        <w:rPr>
          <w:b w:val="0"/>
          <w:i/>
          <w:vertAlign w:val="subscript"/>
        </w:rPr>
        <w:t>3</w:t>
      </w:r>
      <w:r>
        <w:rPr>
          <w:b w:val="0"/>
          <w:i/>
        </w:rPr>
        <w:t>v</w:t>
      </w:r>
      <w:r>
        <w:rPr>
          <w:b w:val="0"/>
          <w:i/>
          <w:vertAlign w:val="subscript"/>
        </w:rPr>
        <w:t>2</w:t>
      </w:r>
      <w:r>
        <w:rPr>
          <w:b w:val="0"/>
          <w:i w:val="0"/>
        </w:rPr>
        <w:t xml:space="preserve"> + </w:t>
      </w:r>
      <w:r>
        <w:rPr>
          <w:b w:val="0"/>
          <w:i/>
        </w:rPr>
        <w:t>N</w:t>
      </w:r>
      <w:r>
        <w:rPr>
          <w:b w:val="0"/>
          <w:i/>
          <w:vertAlign w:val="subscript"/>
        </w:rPr>
        <w:t>4</w:t>
      </w:r>
      <w:r>
        <w:rPr>
          <w:b w:val="0"/>
          <w:i/>
        </w:rPr>
        <w:t>θ</w:t>
      </w:r>
      <w:r>
        <w:rPr>
          <w:b w:val="0"/>
          <w:i/>
          <w:vertAlign w:val="subscript"/>
        </w:rPr>
        <w:t>2</w:t>
      </w:r>
    </w:p>
    <w:p>
      <w:pPr>
        <w:pStyle w:val="Heading2"/>
      </w:pPr>
      <w:r>
        <w:t>3.8 Verification — Equilibrium Residual</w:t>
      </w:r>
    </w:p>
    <w:p>
      <w:r>
        <w:t>As an internal correctness check, the analyser computes the equilibrium residual after the solve:</w:t>
      </w:r>
    </w:p>
    <w:p>
      <w:pPr>
        <w:spacing w:before="120" w:after="120"/>
        <w:jc w:val="center"/>
      </w:pPr>
      <w:r>
        <w:rPr>
          <w:b w:val="0"/>
          <w:i w:val="0"/>
        </w:rPr>
        <w:t xml:space="preserve">‖ </w:t>
      </w:r>
      <w:r>
        <w:rPr>
          <w:b/>
          <w:i w:val="0"/>
        </w:rPr>
        <w:t>K</w:t>
      </w:r>
      <w:r>
        <w:rPr>
          <w:b/>
          <w:i w:val="0"/>
        </w:rPr>
        <w:t xml:space="preserve"> U</w:t>
      </w:r>
      <w:r>
        <w:rPr>
          <w:b w:val="0"/>
          <w:i w:val="0"/>
        </w:rPr>
        <w:t xml:space="preserve"> − </w:t>
      </w:r>
      <w:r>
        <w:rPr>
          <w:b/>
          <w:i w:val="0"/>
        </w:rPr>
        <w:t>F</w:t>
      </w:r>
      <w:r>
        <w:rPr>
          <w:b w:val="0"/>
          <w:i w:val="0"/>
        </w:rPr>
        <w:t xml:space="preserve"> ‖</w:t>
      </w:r>
    </w:p>
    <w:p>
      <w:r>
        <w:t>A small residual confirms the solution satisfies global equilibrium; a large one raises a warning.</w:t>
      </w:r>
    </w:p>
    <w:p>
      <w:pPr>
        <w:pStyle w:val="Heading2"/>
      </w:pPr>
      <w:r>
        <w:t>3.9 Timber Design Theory</w:t>
      </w:r>
    </w:p>
    <w:p>
      <w:r>
        <w:t>After analysis, members are checked against code limit states. The demand on each member is taken from its station envelope — the worst section force anywhere along the span, not merely the end values.</w:t>
      </w:r>
    </w:p>
    <w:p>
      <w:r>
        <w:rPr>
          <w:b/>
          <w:i w:val="0"/>
        </w:rPr>
        <w:t xml:space="preserve">Strength checks. </w:t>
      </w:r>
      <w:r>
        <w:rPr>
          <w:b w:val="0"/>
          <w:i w:val="0"/>
        </w:rPr>
        <w:t>For each member the design (or allowable) stress is compared against capacity, expressed as a demand/capacity (D/C) utilisation ratio (≤ 1.0 = pass):</w:t>
      </w:r>
    </w:p>
    <w:p>
      <w:pPr>
        <w:pStyle w:val="ListBullet"/>
      </w:pPr>
      <w:r>
        <w:rPr>
          <w:b/>
          <w:i w:val="0"/>
        </w:rPr>
        <w:t xml:space="preserve">Axial tension: </w:t>
      </w:r>
      <w:r>
        <w:rPr>
          <w:b w:val="0"/>
          <w:i/>
        </w:rPr>
        <w:t>σ</w:t>
      </w:r>
      <w:r>
        <w:rPr>
          <w:b w:val="0"/>
          <w:i/>
          <w:vertAlign w:val="subscript"/>
        </w:rPr>
        <w:t>t</w:t>
      </w:r>
      <w:r>
        <w:rPr>
          <w:b w:val="0"/>
          <w:i w:val="0"/>
        </w:rPr>
        <w:t xml:space="preserve"> = </w:t>
      </w:r>
      <w:r>
        <w:rPr>
          <w:b w:val="0"/>
          <w:i/>
        </w:rPr>
        <w:t>N</w:t>
      </w:r>
      <w:r>
        <w:rPr>
          <w:b w:val="0"/>
          <w:i w:val="0"/>
        </w:rPr>
        <w:t>/</w:t>
      </w:r>
      <w:r>
        <w:rPr>
          <w:b w:val="0"/>
          <w:i/>
        </w:rPr>
        <w:t>A</w:t>
      </w:r>
      <w:r>
        <w:rPr>
          <w:b w:val="0"/>
          <w:i w:val="0"/>
        </w:rPr>
        <w:t xml:space="preserve"> ≤ </w:t>
      </w:r>
      <w:r>
        <w:rPr>
          <w:b w:val="0"/>
          <w:i/>
        </w:rPr>
        <w:t>f</w:t>
      </w:r>
      <w:r>
        <w:rPr>
          <w:b w:val="0"/>
          <w:i/>
          <w:vertAlign w:val="subscript"/>
        </w:rPr>
        <w:t>t</w:t>
      </w:r>
    </w:p>
    <w:p>
      <w:pPr>
        <w:pStyle w:val="ListBullet"/>
      </w:pPr>
      <w:r>
        <w:rPr>
          <w:b/>
          <w:i w:val="0"/>
        </w:rPr>
        <w:t xml:space="preserve">Axial compression </w:t>
      </w:r>
      <w:r>
        <w:rPr>
          <w:b w:val="0"/>
          <w:i w:val="0"/>
        </w:rPr>
        <w:t xml:space="preserve">(with column-stability reduction): </w:t>
      </w:r>
      <w:r>
        <w:rPr>
          <w:b w:val="0"/>
          <w:i/>
        </w:rPr>
        <w:t>σ</w:t>
      </w:r>
      <w:r>
        <w:rPr>
          <w:b w:val="0"/>
          <w:i/>
          <w:vertAlign w:val="subscript"/>
        </w:rPr>
        <w:t>c</w:t>
      </w:r>
      <w:r>
        <w:rPr>
          <w:b w:val="0"/>
          <w:i w:val="0"/>
        </w:rPr>
        <w:t xml:space="preserve"> = </w:t>
      </w:r>
      <w:r>
        <w:rPr>
          <w:b w:val="0"/>
          <w:i/>
        </w:rPr>
        <w:t>N</w:t>
      </w:r>
      <w:r>
        <w:rPr>
          <w:b w:val="0"/>
          <w:i w:val="0"/>
        </w:rPr>
        <w:t>/</w:t>
      </w:r>
      <w:r>
        <w:rPr>
          <w:b w:val="0"/>
          <w:i/>
        </w:rPr>
        <w:t>A</w:t>
      </w:r>
      <w:r>
        <w:rPr>
          <w:b w:val="0"/>
          <w:i w:val="0"/>
        </w:rPr>
        <w:t xml:space="preserve"> ≤ </w:t>
      </w:r>
      <w:r>
        <w:rPr>
          <w:b w:val="0"/>
          <w:i/>
        </w:rPr>
        <w:t xml:space="preserve">k </w:t>
      </w:r>
      <w:r>
        <w:rPr>
          <w:b w:val="0"/>
          <w:i/>
        </w:rPr>
        <w:t>f</w:t>
      </w:r>
      <w:r>
        <w:rPr>
          <w:b w:val="0"/>
          <w:i/>
          <w:vertAlign w:val="subscript"/>
        </w:rPr>
        <w:t>c</w:t>
      </w:r>
    </w:p>
    <w:p>
      <w:pPr>
        <w:pStyle w:val="ListBullet"/>
      </w:pPr>
      <w:r>
        <w:rPr>
          <w:b/>
          <w:i w:val="0"/>
        </w:rPr>
        <w:t xml:space="preserve">Bending: </w:t>
      </w:r>
      <w:r>
        <w:rPr>
          <w:b w:val="0"/>
          <w:i/>
        </w:rPr>
        <w:t>σ</w:t>
      </w:r>
      <w:r>
        <w:rPr>
          <w:b w:val="0"/>
          <w:i/>
          <w:vertAlign w:val="subscript"/>
        </w:rPr>
        <w:t>m</w:t>
      </w:r>
      <w:r>
        <w:rPr>
          <w:b w:val="0"/>
          <w:i w:val="0"/>
        </w:rPr>
        <w:t xml:space="preserve"> = </w:t>
      </w:r>
      <w:r>
        <w:rPr>
          <w:b w:val="0"/>
          <w:i/>
        </w:rPr>
        <w:t>M</w:t>
      </w:r>
      <w:r>
        <w:rPr>
          <w:b w:val="0"/>
          <w:i w:val="0"/>
        </w:rPr>
        <w:t>/</w:t>
      </w:r>
      <w:r>
        <w:rPr>
          <w:b w:val="0"/>
          <w:i/>
        </w:rPr>
        <w:t>S</w:t>
      </w:r>
      <w:r>
        <w:rPr>
          <w:b w:val="0"/>
          <w:i w:val="0"/>
        </w:rPr>
        <w:t xml:space="preserve"> ≤ </w:t>
      </w:r>
      <w:r>
        <w:rPr>
          <w:b w:val="0"/>
          <w:i/>
        </w:rPr>
        <w:t>f</w:t>
      </w:r>
      <w:r>
        <w:rPr>
          <w:b w:val="0"/>
          <w:i/>
          <w:vertAlign w:val="subscript"/>
        </w:rPr>
        <w:t>m</w:t>
      </w:r>
      <w:r>
        <w:rPr>
          <w:b w:val="0"/>
          <w:i w:val="0"/>
        </w:rPr>
        <w:t xml:space="preserve"> (with a lateral-torsional stability factor where applicable)</w:t>
      </w:r>
    </w:p>
    <w:p>
      <w:pPr>
        <w:pStyle w:val="ListBullet"/>
      </w:pPr>
      <w:r>
        <w:rPr>
          <w:b/>
          <w:i w:val="0"/>
        </w:rPr>
        <w:t xml:space="preserve">Shear </w:t>
      </w:r>
      <w:r>
        <w:rPr>
          <w:b w:val="0"/>
          <w:i w:val="0"/>
        </w:rPr>
        <w:t xml:space="preserve">(rectangular section): </w:t>
      </w:r>
      <w:r>
        <w:rPr>
          <w:b w:val="0"/>
          <w:i/>
        </w:rPr>
        <w:t>τ</w:t>
      </w:r>
      <w:r>
        <w:rPr>
          <w:b w:val="0"/>
          <w:i w:val="0"/>
        </w:rPr>
        <w:t xml:space="preserve"> = 3</w:t>
      </w:r>
      <w:r>
        <w:rPr>
          <w:b w:val="0"/>
          <w:i/>
        </w:rPr>
        <w:t>V</w:t>
      </w:r>
      <w:r>
        <w:rPr>
          <w:b w:val="0"/>
          <w:i w:val="0"/>
        </w:rPr>
        <w:t>/2</w:t>
      </w:r>
      <w:r>
        <w:rPr>
          <w:b w:val="0"/>
          <w:i/>
        </w:rPr>
        <w:t>A</w:t>
      </w:r>
      <w:r>
        <w:rPr>
          <w:b w:val="0"/>
          <w:i w:val="0"/>
        </w:rPr>
        <w:t xml:space="preserve"> ≤ </w:t>
      </w:r>
      <w:r>
        <w:rPr>
          <w:b w:val="0"/>
          <w:i/>
        </w:rPr>
        <w:t>f</w:t>
      </w:r>
      <w:r>
        <w:rPr>
          <w:b w:val="0"/>
          <w:i/>
          <w:vertAlign w:val="subscript"/>
        </w:rPr>
        <w:t>v</w:t>
      </w:r>
    </w:p>
    <w:p>
      <w:pPr>
        <w:pStyle w:val="ListBullet"/>
      </w:pPr>
      <w:r>
        <w:rPr>
          <w:b/>
          <w:i w:val="0"/>
        </w:rPr>
        <w:t xml:space="preserve">Combined bending + axial </w:t>
      </w:r>
      <w:r>
        <w:rPr>
          <w:b w:val="0"/>
          <w:i w:val="0"/>
        </w:rPr>
        <w:t>(an interaction equation, e.g. for compression + bending):</w:t>
      </w:r>
    </w:p>
    <w:p>
      <w:pPr>
        <w:spacing w:before="120" w:after="120"/>
        <w:jc w:val="center"/>
      </w:pPr>
      <w:r>
        <w:rPr>
          <w:b w:val="0"/>
          <w:i w:val="0"/>
        </w:rPr>
        <w:t xml:space="preserve">( </w:t>
      </w:r>
      <w:r>
        <w:rPr>
          <w:b w:val="0"/>
          <w:i/>
        </w:rPr>
        <w:t>σ</w:t>
      </w:r>
      <w:r>
        <w:rPr>
          <w:b w:val="0"/>
          <w:i/>
          <w:vertAlign w:val="subscript"/>
        </w:rPr>
        <w:t>c</w:t>
      </w:r>
      <w:r>
        <w:rPr>
          <w:b w:val="0"/>
          <w:i w:val="0"/>
        </w:rPr>
        <w:t>/</w:t>
      </w:r>
      <w:r>
        <w:rPr>
          <w:b w:val="0"/>
          <w:i/>
        </w:rPr>
        <w:t>f</w:t>
      </w:r>
      <w:r>
        <w:rPr>
          <w:b w:val="0"/>
          <w:i/>
          <w:vertAlign w:val="subscript"/>
        </w:rPr>
        <w:t>c</w:t>
      </w:r>
      <w:r>
        <w:rPr>
          <w:b w:val="0"/>
          <w:i w:val="0"/>
        </w:rPr>
        <w:t xml:space="preserve"> )</w:t>
      </w:r>
      <w:r>
        <w:rPr>
          <w:b w:val="0"/>
          <w:i w:val="0"/>
          <w:vertAlign w:val="superscript"/>
        </w:rPr>
        <w:t>2</w:t>
      </w:r>
      <w:r>
        <w:rPr>
          <w:b w:val="0"/>
          <w:i w:val="0"/>
        </w:rPr>
        <w:t xml:space="preserve">  +  </w:t>
      </w:r>
      <w:r>
        <w:rPr>
          <w:b w:val="0"/>
          <w:i/>
        </w:rPr>
        <w:t>σ</w:t>
      </w:r>
      <w:r>
        <w:rPr>
          <w:b w:val="0"/>
          <w:i/>
          <w:vertAlign w:val="subscript"/>
        </w:rPr>
        <w:t>m</w:t>
      </w:r>
      <w:r>
        <w:rPr>
          <w:b w:val="0"/>
          <w:i w:val="0"/>
        </w:rPr>
        <w:t>/</w:t>
      </w:r>
      <w:r>
        <w:rPr>
          <w:b w:val="0"/>
          <w:i/>
        </w:rPr>
        <w:t>f</w:t>
      </w:r>
      <w:r>
        <w:rPr>
          <w:b w:val="0"/>
          <w:i/>
          <w:vertAlign w:val="subscript"/>
        </w:rPr>
        <w:t>m</w:t>
      </w:r>
      <w:r>
        <w:rPr>
          <w:b w:val="0"/>
          <w:i w:val="0"/>
        </w:rPr>
        <w:t xml:space="preserve">  ≤  1</w:t>
      </w:r>
    </w:p>
    <w:p>
      <w:r>
        <w:t>The exact form follows each code’s interaction rule.</w:t>
      </w:r>
    </w:p>
    <w:p>
      <w:r>
        <w:rPr>
          <w:b/>
          <w:i w:val="0"/>
        </w:rPr>
        <w:t xml:space="preserve">Load-duration and modification factors. </w:t>
      </w:r>
      <w:r>
        <w:rPr>
          <w:b w:val="0"/>
          <w:i w:val="0"/>
        </w:rPr>
        <w:t>Timber strength depends on how long the load acts and on the moisture / service condition. Each code applies a corresponding factor to the reference strengths:</w:t>
      </w:r>
    </w:p>
    <w:p>
      <w:pPr>
        <w:pStyle w:val="ListBullet"/>
      </w:pPr>
      <w:r>
        <w:rPr>
          <w:b/>
          <w:i w:val="0"/>
        </w:rPr>
        <w:t xml:space="preserve">Eurocode 5: </w:t>
      </w:r>
      <w:r>
        <w:rPr>
          <w:b w:val="0"/>
          <w:i/>
        </w:rPr>
        <w:t>k</w:t>
      </w:r>
      <w:r>
        <w:rPr>
          <w:b w:val="0"/>
          <w:i/>
          <w:vertAlign w:val="subscript"/>
        </w:rPr>
        <w:t>mod</w:t>
      </w:r>
      <w:r>
        <w:rPr>
          <w:b w:val="0"/>
          <w:i w:val="0"/>
        </w:rPr>
        <w:t xml:space="preserve"> (load-duration × service class), with material partial factor </w:t>
      </w:r>
      <w:r>
        <w:rPr>
          <w:b w:val="0"/>
          <w:i/>
        </w:rPr>
        <w:t>γ</w:t>
      </w:r>
      <w:r>
        <w:rPr>
          <w:b w:val="0"/>
          <w:i/>
          <w:vertAlign w:val="subscript"/>
        </w:rPr>
        <w:t>M</w:t>
      </w:r>
      <w:r>
        <w:rPr>
          <w:b w:val="0"/>
          <w:i w:val="0"/>
        </w:rPr>
        <w:t>.</w:t>
      </w:r>
    </w:p>
    <w:p>
      <w:pPr>
        <w:pStyle w:val="ListBullet"/>
      </w:pPr>
      <w:r>
        <w:rPr>
          <w:b/>
          <w:i w:val="0"/>
        </w:rPr>
        <w:t xml:space="preserve">US / NDS: </w:t>
      </w:r>
      <w:r>
        <w:rPr>
          <w:b w:val="0"/>
          <w:i w:val="0"/>
        </w:rPr>
        <w:t xml:space="preserve">load-duration factor </w:t>
      </w:r>
      <w:r>
        <w:rPr>
          <w:b w:val="0"/>
          <w:i/>
        </w:rPr>
        <w:t>C</w:t>
      </w:r>
      <w:r>
        <w:rPr>
          <w:b w:val="0"/>
          <w:i/>
          <w:vertAlign w:val="subscript"/>
        </w:rPr>
        <w:t>D</w:t>
      </w:r>
      <w:r>
        <w:rPr>
          <w:b w:val="0"/>
          <w:i w:val="0"/>
        </w:rPr>
        <w:t xml:space="preserve"> (and other adjustment factors </w:t>
      </w:r>
      <w:r>
        <w:rPr>
          <w:b w:val="0"/>
          <w:i/>
        </w:rPr>
        <w:t>C</w:t>
      </w:r>
      <w:r>
        <w:rPr>
          <w:b w:val="0"/>
          <w:i/>
          <w:vertAlign w:val="subscript"/>
        </w:rPr>
        <w:t>i</w:t>
      </w:r>
      <w:r>
        <w:rPr>
          <w:b w:val="0"/>
          <w:i w:val="0"/>
        </w:rPr>
        <w:t>).</w:t>
      </w:r>
    </w:p>
    <w:p>
      <w:pPr>
        <w:pStyle w:val="ListBullet"/>
      </w:pPr>
      <w:r>
        <w:rPr>
          <w:b/>
          <w:i w:val="0"/>
        </w:rPr>
        <w:t xml:space="preserve">Turkish (TBDY): </w:t>
      </w:r>
      <w:r>
        <w:rPr>
          <w:b w:val="0"/>
          <w:i w:val="0"/>
        </w:rPr>
        <w:t xml:space="preserve">the equivalent load-duration factor </w:t>
      </w:r>
      <w:r>
        <w:rPr>
          <w:b w:val="0"/>
          <w:i/>
        </w:rPr>
        <w:t>λ</w:t>
      </w:r>
      <w:r>
        <w:rPr>
          <w:b w:val="0"/>
          <w:i w:val="0"/>
        </w:rPr>
        <w:t>.</w:t>
      </w:r>
    </w:p>
    <w:p>
      <w:r>
        <w:rPr>
          <w:b/>
          <w:i w:val="0"/>
        </w:rPr>
        <w:t xml:space="preserve">Load combinations. </w:t>
      </w:r>
      <w:r>
        <w:rPr>
          <w:b w:val="0"/>
          <w:i w:val="0"/>
        </w:rPr>
        <w:t>Demands are evaluated for code-standard combinations — ASCE 7 (US), EN 1990 (EC5), and TBDY — each combining dead, live, wind, etc. with the appropriate partial / combination factors. The governing case per member is selected via a design envelope across all combinations, and the load-duration factor is applied per combination according to its shortest-duration leading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