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 API &amp; Microservices Learning Reference</w:t>
      </w:r>
    </w:p>
    <w:p>
      <w:r>
        <w:t>Reference notes for the topics covered in the current learning track, including theory, implementation patterns, resilience, observability, and production storage considerations.</w:t>
      </w:r>
    </w:p>
    <w:p>
      <w:pPr>
        <w:pStyle w:val="Heading1"/>
      </w:pPr>
      <w:r>
        <w:t>1. REST API &amp; HTTP Fundamentals</w:t>
      </w:r>
    </w:p>
    <w:p>
      <w:r>
        <w:t>REST models data as resources and uses HTTP semantics. Key concepts covered: statelessness, cacheability, uniform interface, client-server, layered system, and optional code-on-demand. HTTP methods covered: GET, POST, PUT, PATCH, DELETE, HEAD, OPTIONS. Important status codes include 200, 201, 204, 400, 401, 403, 404, 405, 409, 429 and 500.</w:t>
      </w:r>
    </w:p>
    <w:p>
      <w:r>
        <w:rPr>
          <w:b/>
        </w:rPr>
        <w:t>Implementation / example:</w:t>
        <w:br/>
      </w:r>
      <w:r>
        <w:t>GET /api/v1/products</w:t>
        <w:br/>
        <w:t>GET /api/v1/products/{id}</w:t>
        <w:br/>
        <w:t>POST /api/v1/products</w:t>
        <w:br/>
        <w:t>PUT /api/v1/products/{id}</w:t>
        <w:br/>
        <w:t>PATCH /api/v1/products/{id}</w:t>
        <w:br/>
        <w:t>DELETE /api/v1/products/{id}</w:t>
      </w:r>
    </w:p>
    <w:p>
      <w:pPr>
        <w:pStyle w:val="Heading1"/>
      </w:pPr>
      <w:r>
        <w:t>2. DTO + Entity Separation</w:t>
      </w:r>
    </w:p>
    <w:p>
      <w:r>
        <w:t>Entity = persistence/database model. DTO = API request/response contract. Separating them prevents accidental database-field exposure, keeps API contracts controlled, supports validation, and allows the database and API models to evolve independently.</w:t>
      </w:r>
    </w:p>
    <w:p>
      <w:r>
        <w:rPr>
          <w:b/>
        </w:rPr>
        <w:t>Implementation / example:</w:t>
        <w:br/>
      </w:r>
      <w:r>
        <w:t>public record ProductRequest(String name, Double price, String category) {}</w:t>
        <w:br/>
        <w:t>public record ProductResponse(Long id, String name, Double price, String category) {}</w:t>
        <w:br/>
        <w:br/>
        <w:t>Controller -&gt; Request DTO -&gt; Service -&gt; Entity -&gt; Repository</w:t>
        <w:br/>
        <w:t>Repository -&gt; Entity -&gt; Service -&gt; Response DTO -&gt; Controller</w:t>
      </w:r>
    </w:p>
    <w:p>
      <w:pPr>
        <w:pStyle w:val="Heading1"/>
      </w:pPr>
      <w:r>
        <w:t>3. OpenAPI / Swagger</w:t>
      </w:r>
    </w:p>
    <w:p>
      <w:r>
        <w:t>Springdoc/OpenAPI was used to document and test the API. Swagger UI provides interactive testing; /v3/api-docs exposes the OpenAPI specification. OpenApiConfig can define API metadata.</w:t>
      </w:r>
    </w:p>
    <w:p>
      <w:r>
        <w:rPr>
          <w:b/>
        </w:rPr>
        <w:t>Implementation / example:</w:t>
        <w:br/>
      </w:r>
      <w:r>
        <w:t>Swagger UI: /swagger-ui/index.html</w:t>
        <w:br/>
        <w:t>OpenAPI JSON: /v3/api-docs</w:t>
      </w:r>
    </w:p>
    <w:p>
      <w:pPr>
        <w:pStyle w:val="Heading1"/>
      </w:pPr>
      <w:r>
        <w:t>4. Testing with MockMvc + Mockito</w:t>
      </w:r>
    </w:p>
    <w:p>
      <w:r>
        <w:t>@WebMvcTest focuses on the MVC/controller layer. Mockito mocks service dependencies so controller behavior can be tested independently. The tests verify HTTP methods, paths, status codes and response behavior.</w:t>
      </w:r>
    </w:p>
    <w:p>
      <w:r>
        <w:rPr>
          <w:b/>
        </w:rPr>
        <w:t>Implementation / example:</w:t>
        <w:br/>
      </w:r>
      <w:r>
        <w:t>mockMvc.perform(get("/api/v1/products/1"))</w:t>
        <w:br/>
        <w:t xml:space="preserve">       .andExpect(status().isOk());</w:t>
      </w:r>
    </w:p>
    <w:p>
      <w:pPr>
        <w:pStyle w:val="Heading1"/>
      </w:pPr>
      <w:r>
        <w:t>5. CORS</w:t>
      </w:r>
    </w:p>
    <w:p>
      <w:r>
        <w:t>CORS controls which browser origins may make cross-origin requests. It is a browser security mechanism, not authentication. Production configurations should allow only required origins, methods and headers.</w:t>
      </w:r>
    </w:p>
    <w:p>
      <w:r>
        <w:rPr>
          <w:b/>
        </w:rPr>
        <w:t>Implementation / example:</w:t>
        <w:br/>
      </w:r>
      <w:r>
        <w:t>Frontend -&gt; CORS policy -&gt; REST API</w:t>
      </w:r>
    </w:p>
    <w:p>
      <w:pPr>
        <w:pStyle w:val="Heading1"/>
      </w:pPr>
      <w:r>
        <w:t>6. JWT + Spring Security</w:t>
      </w:r>
    </w:p>
    <w:p>
      <w:r>
        <w:t>JWT was implemented for login and access-token generation. 401 means missing/invalid authentication; 403 means authenticated but not authorized. JWT payloads are encoded, not encrypted, so passwords and sensitive data should not be placed in them. AuthenticationEntryPoint handles authentication failures and AccessDeniedHandler handles authorization failures.</w:t>
      </w:r>
    </w:p>
    <w:p>
      <w:r>
        <w:rPr>
          <w:b/>
        </w:rPr>
        <w:t>Implementation / example:</w:t>
        <w:br/>
      </w:r>
      <w:r>
        <w:t>POST /login</w:t>
        <w:br/>
        <w:t xml:space="preserve">  -&gt; authenticate credentials</w:t>
        <w:br/>
        <w:t xml:space="preserve">  -&gt; generate JWT</w:t>
        <w:br/>
        <w:t xml:space="preserve">  -&gt; Authorization: Bearer &lt;token&gt;</w:t>
        <w:br/>
        <w:t xml:space="preserve">  -&gt; validate token</w:t>
        <w:br/>
        <w:t xml:space="preserve">  -&gt; authorize request</w:t>
      </w:r>
    </w:p>
    <w:p>
      <w:pPr>
        <w:pStyle w:val="Heading1"/>
      </w:pPr>
      <w:r>
        <w:t>7. Idempotency</w:t>
      </w:r>
    </w:p>
    <w:p>
      <w:r>
        <w:t>Idempotency means repeating the same operation produces the same intended effect. PUT is generally idempotent; POST is generally not. Idempotency-Key is normally generated by the client and stored with the result by the server. Production systems commonly use Redis or a durable database so state survives restarts and is shared across instances.</w:t>
      </w:r>
    </w:p>
    <w:p>
      <w:r>
        <w:rPr>
          <w:b/>
        </w:rPr>
        <w:t>Implementation / example:</w:t>
        <w:br/>
      </w:r>
      <w:r>
        <w:t>POST /api/v1/orders</w:t>
        <w:br/>
        <w:t>Idempotency-Key: abc-123</w:t>
        <w:br/>
        <w:br/>
        <w:t>Same key -&gt; same logical operation/result</w:t>
        <w:br/>
        <w:t>New key  -&gt; new operation</w:t>
      </w:r>
    </w:p>
    <w:p>
      <w:pPr>
        <w:pStyle w:val="Heading1"/>
      </w:pPr>
      <w:r>
        <w:t>8. Rate Limiting</w:t>
      </w:r>
    </w:p>
    <w:p>
      <w:r>
        <w:t>Rate limiting controls request frequency to protect APIs from abuse, spikes and resource exhaustion. 429 Too Many Requests is the standard response when a limit is exceeded.</w:t>
      </w:r>
    </w:p>
    <w:p>
      <w:r>
        <w:rPr>
          <w:b/>
        </w:rPr>
        <w:t>Implementation / example:</w:t>
        <w:br/>
      </w:r>
      <w:r>
        <w:t>resilience4j.ratelimiter.instances.inventory.limit-for-period=5</w:t>
        <w:br/>
        <w:t>resilience4j.ratelimiter.instances.inventory.limit-refresh-period=1s</w:t>
        <w:br/>
        <w:t>resilience4j.ratelimiter.instances.inventory.timeout-duration=0</w:t>
      </w:r>
    </w:p>
    <w:p>
      <w:pPr>
        <w:pStyle w:val="Heading1"/>
      </w:pPr>
      <w:r>
        <w:t>9. Resilience4j</w:t>
      </w:r>
    </w:p>
    <w:p>
      <w:r>
        <w:t>Retry handles transient failures. Circuit Breaker stops calls to persistently failing dependencies. Fallback provides controlled alternative behavior. TimeLimiter limits asynchronous operation duration. Bulkhead limits concurrent calls. RateLimiter limits call frequency.</w:t>
      </w:r>
    </w:p>
    <w:p>
      <w:r>
        <w:rPr>
          <w:b/>
        </w:rPr>
        <w:t>Implementation / example:</w:t>
        <w:br/>
      </w:r>
      <w:r>
        <w:t>Retry:</w:t>
        <w:br/>
        <w:t>resilience4j.retry.instances.inventory.max-attempts=3</w:t>
        <w:br/>
        <w:t>resilience4j.retry.instances.inventory.wait-duration=5s</w:t>
        <w:br/>
        <w:br/>
        <w:t>Circuit Breaker:</w:t>
        <w:br/>
        <w:t>resilience4j.circuitbreaker.instances.inventory.failure-rate-threshold=50</w:t>
        <w:br/>
        <w:t>resilience4j.circuitbreaker.instances.inventory.sliding-window-size=5</w:t>
        <w:br/>
        <w:t>resilience4j.circuitbreaker.instances.inventory.minimum-number-of-calls=5</w:t>
        <w:br/>
        <w:t>resilience4j.circuitbreaker.instances.inventory.wait-duration-in-open-state=10s</w:t>
        <w:br/>
        <w:br/>
        <w:t>Bulkhead:</w:t>
        <w:br/>
        <w:t>resilience4j.bulkhead.instances.inventory.max-concurrent-calls=3</w:t>
        <w:br/>
        <w:t>resilience4j.bulkhead.instances.inventory.max-wait-duration=0</w:t>
        <w:br/>
        <w:br/>
        <w:t>TimeLimiter:</w:t>
        <w:br/>
        <w:t>resilience4j.timelimiter.instances.inventory.timeout-duration=2s</w:t>
      </w:r>
    </w:p>
    <w:p>
      <w:pPr>
        <w:pStyle w:val="Heading1"/>
      </w:pPr>
      <w:r>
        <w:t>10. Circuit Breaker States</w:t>
      </w:r>
    </w:p>
    <w:p>
      <w:r>
        <w:t>CLOSED allows normal traffic. After enough failures exceed the threshold, the circuit becomes OPEN and calls are blocked/fallback can execute. After the open wait duration, it becomes HALF_OPEN and allows a limited test. Success returns to CLOSED; failure returns to OPEN.</w:t>
      </w:r>
    </w:p>
    <w:p>
      <w:r>
        <w:rPr>
          <w:b/>
        </w:rPr>
        <w:t>Implementation / example:</w:t>
        <w:br/>
      </w:r>
      <w:r>
        <w:t>CLOSED -&gt; repeated failures -&gt; OPEN</w:t>
        <w:br/>
        <w:t>OPEN -&gt; wait duration -&gt; HALF_OPEN</w:t>
        <w:br/>
        <w:t>HALF_OPEN + success -&gt; CLOSED</w:t>
        <w:br/>
        <w:t>HALF_OPEN + failure -&gt; OPEN</w:t>
      </w:r>
    </w:p>
    <w:p>
      <w:pPr>
        <w:pStyle w:val="Heading1"/>
      </w:pPr>
      <w:r>
        <w:t>11. TimeLimiter</w:t>
      </w:r>
    </w:p>
    <w:p>
      <w:r>
        <w:t>HTTP client connect/read/response timeouts and Resilience4j TimeLimiter are related but distinct. Resilience4j TimeLimiter is intended for asynchronous operations such as CompletableFuture. For a synchronous RestClient call, configure the underlying HTTP client's appropriate timeout. For a TimeLimiter demonstration, WebClient + CompletableFuture can be used.</w:t>
      </w:r>
    </w:p>
    <w:p>
      <w:r>
        <w:rPr>
          <w:b/>
        </w:rPr>
        <w:t>Implementation / example:</w:t>
        <w:br/>
      </w:r>
      <w:r>
        <w:t>@TimeLimiter(name = "inventory")</w:t>
        <w:br/>
        <w:t>public CompletableFuture&lt;String&gt; getInventory(Long id) {</w:t>
        <w:br/>
        <w:t xml:space="preserve">    return webClient.get()</w:t>
        <w:br/>
        <w:t xml:space="preserve">        .uri("/api/v1/inventory/{id}", id)</w:t>
        <w:br/>
        <w:t xml:space="preserve">        .retrieve()</w:t>
        <w:br/>
        <w:t xml:space="preserve">        .bodyToMono(String.class)</w:t>
        <w:br/>
        <w:t xml:space="preserve">        .toFuture();</w:t>
        <w:br/>
        <w:t>}</w:t>
      </w:r>
    </w:p>
    <w:p>
      <w:pPr>
        <w:pStyle w:val="Heading1"/>
      </w:pPr>
      <w:r>
        <w:t>12. Distributed Tracing</w:t>
      </w:r>
    </w:p>
    <w:p>
      <w:r>
        <w:t>Distributed tracing follows one request across multiple services. Trace ID identifies the complete trace; Span ID identifies one operation within the trace. Correlation ID is commonly used to correlate application logs, while Trace ID connects distributed spans.</w:t>
      </w:r>
    </w:p>
    <w:p>
      <w:r>
        <w:rPr>
          <w:b/>
        </w:rPr>
        <w:t>Implementation / example:</w:t>
        <w:br/>
      </w:r>
      <w:r>
        <w:t>Trace ID = ABC123</w:t>
        <w:br/>
        <w:t xml:space="preserve">  Product Service -&gt; Span P001</w:t>
        <w:br/>
        <w:t xml:space="preserve">  Inventory Service -&gt; Span I001</w:t>
        <w:br/>
        <w:t xml:space="preserve">  Payment Service -&gt; Span PM001</w:t>
        <w:br/>
        <w:br/>
        <w:t>Same Trace ID, different Span IDs.</w:t>
      </w:r>
    </w:p>
    <w:p>
      <w:pPr>
        <w:pStyle w:val="Heading1"/>
      </w:pPr>
      <w:r>
        <w:t>13. Production-Level Observability</w:t>
      </w:r>
    </w:p>
    <w:p>
      <w:r>
        <w:t>Production applications typically use Micrometer Tracing/OpenTelemetry, an OpenTelemetry Collector, and a centralized observability backend. Applications should not manually generate trace IDs or manually propagate tracing headers when standard instrumentation is available.</w:t>
      </w:r>
    </w:p>
    <w:p>
      <w:r>
        <w:rPr>
          <w:b/>
        </w:rPr>
        <w:t>Implementation / example:</w:t>
        <w:br/>
      </w:r>
      <w:r>
        <w:t>Client</w:t>
        <w:br/>
        <w:t xml:space="preserve">  -&gt; API Gateway</w:t>
        <w:br/>
        <w:t xml:space="preserve">  -&gt; Product Service</w:t>
        <w:br/>
        <w:t xml:space="preserve">  -&gt; Inventory Service</w:t>
        <w:br/>
        <w:t xml:space="preserve">  -&gt; OpenTelemetry Collector</w:t>
        <w:br/>
        <w:t xml:space="preserve">  -&gt; Tracing/Logging/Metrics backends</w:t>
        <w:br/>
        <w:br/>
        <w:t>Local learning: Zipkin.</w:t>
        <w:br/>
        <w:t>Production: commonly an OpenTelemetry-compatible backend such as Tempo/Jaeger or a managed platform.</w:t>
      </w:r>
    </w:p>
    <w:p>
      <w:pPr>
        <w:pStyle w:val="Heading1"/>
      </w:pPr>
      <w:r>
        <w:t>14. Production Storage Areas</w:t>
      </w:r>
    </w:p>
    <w:p>
      <w:r>
        <w:t>Business data such as Product entities belongs in a relational database such as PostgreSQL/MySQL. Idempotency keys/results should be stored in Redis or a durable database in production. Stateless JWT authentication normally does not require storing every access token server-side; signing keys and related security configuration must be protected. Traces, logs and metrics belong in centralized observability systems. Secrets should be managed outside source code.</w:t>
      </w:r>
    </w:p>
    <w:p>
      <w:r>
        <w:rPr>
          <w:b/>
        </w:rPr>
        <w:t>Implementation / example:</w:t>
        <w:br/>
      </w:r>
      <w:r>
        <w:t>Business data -&gt; PostgreSQL/MySQL</w:t>
        <w:br/>
        <w:t>Idempotency state -&gt; Redis / durable DB</w:t>
        <w:br/>
        <w:t>Traces -&gt; centralized tracing backend</w:t>
        <w:br/>
        <w:t>Logs -&gt; centralized log platform</w:t>
        <w:br/>
        <w:t>Metrics -&gt; time-series/metrics backend</w:t>
        <w:br/>
        <w:t>Secrets -&gt; secret-management system</w:t>
        <w:br/>
        <w:t>Configuration -&gt; externalized configuration</w:t>
      </w:r>
    </w:p>
    <w:p>
      <w:pPr>
        <w:pStyle w:val="Heading1"/>
      </w:pPr>
      <w:r>
        <w:t>15. End-to-End Production Mental Model</w:t>
      </w:r>
    </w:p>
    <w:p>
      <w:r>
        <w:t>REST handles resource communication. Security handles authentication/authorization. Idempotency prevents duplicate effects. Resilience4j protects service-to-service calls. Distributed tracing explains the request journey. OpenTelemetry provides the telemetry pipeline. Shared storage holds state that must survive restarts and scale-out.</w:t>
      </w:r>
    </w:p>
    <w:p>
      <w:r>
        <w:rPr>
          <w:b/>
        </w:rPr>
        <w:t>Implementation / example:</w:t>
        <w:br/>
      </w:r>
      <w:r>
        <w:t>Client</w:t>
        <w:br/>
        <w:t xml:space="preserve">  -&gt; Gateway</w:t>
        <w:br/>
        <w:t xml:space="preserve">  -&gt; Product Service</w:t>
        <w:br/>
        <w:t xml:space="preserve">       -&gt; Inventory Service</w:t>
        <w:br/>
        <w:t xml:space="preserve">       -&gt; Payment Service</w:t>
        <w:br/>
        <w:t xml:space="preserve">       -&gt; Database</w:t>
        <w:br/>
        <w:t xml:space="preserve">  Resilience: Retry / Circuit Breaker / Fallback / Timeout / Bulkhead / RateLimiter</w:t>
        <w:br/>
        <w:t xml:space="preserve">  Observability: Trace ID / Span ID / Logs / Metrics</w:t>
        <w:br/>
        <w:t xml:space="preserve">  Shared state: Redis / Database</w:t>
      </w:r>
    </w:p>
    <w:p>
      <w:pPr>
        <w:pStyle w:val="Heading1"/>
      </w:pPr>
      <w:r>
        <w:t>Quick Revision Order</w:t>
      </w:r>
    </w:p>
    <w:p>
      <w:r>
        <w:t>REST/HTTP -&gt; DTO/Entity -&gt; Swagger/OpenAPI -&gt; Testing -&gt; CORS -&gt; JWT/Security -&gt; Idempotency -&gt; Rate Limiting -&gt; Resilience4j -&gt; Distributed Tracing -&gt; Production Observability -&gt; Storage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