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Computer Networks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01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01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8363" cy="2971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request is made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</w:t>
      </w:r>
      <w:r w:rsidDel="00000000" w:rsidR="00000000" w:rsidRPr="00000000">
        <w:rPr>
          <w:rtl w:val="0"/>
        </w:rPr>
        <w:t xml:space="preserve">, meaning the communication is unencrypted.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exposes the data to Man-in-the-Middle (MITM) attacks, allowing attackers to intercept and modify the request.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request does not contain any authentication tokens, API keys, or user credentials.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this specific request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) does not expose sensitive data, other requests to the same server might.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Risk: If a session-based authentication is used elsewhere, an attacker could hijack the session.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145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02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15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87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04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