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38E" w:rsidRPr="00B4738E" w:rsidRDefault="00B4738E" w:rsidP="00B4738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bidi="hi-IN"/>
        </w:rPr>
      </w:pPr>
      <w:r w:rsidRPr="00B4738E">
        <w:rPr>
          <w:rFonts w:ascii="Arial" w:hAnsi="Arial" w:cs="Arial"/>
          <w:b/>
          <w:bCs/>
          <w:sz w:val="24"/>
          <w:szCs w:val="24"/>
          <w:lang w:bidi="hi-IN"/>
        </w:rPr>
        <w:t>Brief input on operational experience of REMCs</w:t>
      </w:r>
    </w:p>
    <w:p w:rsidR="00B4738E" w:rsidRDefault="00B4738E" w:rsidP="00733D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bidi="hi-IN"/>
        </w:rPr>
      </w:pPr>
    </w:p>
    <w:p w:rsidR="000644FF" w:rsidRPr="00B4738E" w:rsidRDefault="00733DF1" w:rsidP="00B4738E">
      <w:pPr>
        <w:autoSpaceDE w:val="0"/>
        <w:autoSpaceDN w:val="0"/>
        <w:adjustRightInd w:val="0"/>
        <w:spacing w:after="0" w:line="336" w:lineRule="auto"/>
        <w:jc w:val="both"/>
        <w:rPr>
          <w:rFonts w:ascii="Arial" w:hAnsi="Arial" w:cs="Arial"/>
          <w:color w:val="000000"/>
          <w:sz w:val="24"/>
          <w:szCs w:val="24"/>
          <w:lang w:bidi="hi-IN"/>
        </w:rPr>
      </w:pPr>
      <w:r w:rsidRPr="00B4738E">
        <w:rPr>
          <w:rFonts w:ascii="Arial" w:hAnsi="Arial" w:cs="Arial"/>
          <w:color w:val="000000"/>
          <w:sz w:val="24"/>
          <w:szCs w:val="24"/>
          <w:lang w:bidi="hi-IN"/>
        </w:rPr>
        <w:t>Impact of integration of RE generation on power generation and transmission network is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different from that of conventional generation. 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The decision for 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>establishment of Renewable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Energy Management Centre (REMC) as dedicated RE management system 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was taken by Ministry of Power 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>to facilitate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>adequate grid operation in the area of responsibility. Renewable Energy Management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>Centre (REMC), equipped with Forecasting and scheduling tool &amp; Real Time Monitoring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>of RE generation for safe, secure and optimal operations of the overall grid.</w:t>
      </w:r>
    </w:p>
    <w:p w:rsidR="00733DF1" w:rsidRDefault="00733DF1" w:rsidP="00733DF1">
      <w:pPr>
        <w:autoSpaceDE w:val="0"/>
        <w:autoSpaceDN w:val="0"/>
        <w:adjustRightInd w:val="0"/>
        <w:spacing w:after="0" w:line="240" w:lineRule="auto"/>
        <w:jc w:val="both"/>
      </w:pPr>
    </w:p>
    <w:p w:rsidR="00B4738E" w:rsidRDefault="00733DF1" w:rsidP="00B4738E">
      <w:pPr>
        <w:autoSpaceDE w:val="0"/>
        <w:autoSpaceDN w:val="0"/>
        <w:adjustRightInd w:val="0"/>
        <w:spacing w:after="0" w:line="336" w:lineRule="auto"/>
        <w:jc w:val="both"/>
        <w:rPr>
          <w:rFonts w:ascii="Arial" w:hAnsi="Arial" w:cs="Arial"/>
          <w:color w:val="000000"/>
          <w:sz w:val="24"/>
          <w:szCs w:val="24"/>
          <w:lang w:bidi="hi-IN"/>
        </w:rPr>
      </w:pPr>
      <w:r w:rsidRPr="00B4738E">
        <w:rPr>
          <w:rFonts w:ascii="Arial" w:hAnsi="Arial" w:cs="Arial"/>
          <w:color w:val="000000"/>
          <w:sz w:val="24"/>
          <w:szCs w:val="24"/>
          <w:lang w:bidi="hi-IN"/>
        </w:rPr>
        <w:t>REMC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s are equipped with 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>SCADA, Forecasting and Scheduling tool. REMC SCADA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>acquire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>s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data from RE ISTS Pooling stations on standard protocols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. 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>The REMC architecture consists of forecasting tool which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>provide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>s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prediction of wind and solar power generation. The forecasting tool provide power forecast based on input from 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>three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Forecasting service providers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(FSP) 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>one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forecast from 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>I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nternal 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>F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orecast 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>Tool (IFT) and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One Forecast Combination &amp; Aggregator (FCA)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. 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>The scheduling tool provide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>platform to QCA/RE generators/RE developers to upload their schedules.</w:t>
      </w:r>
    </w:p>
    <w:p w:rsidR="00D04C8E" w:rsidRPr="00B4738E" w:rsidRDefault="00B4738E" w:rsidP="00B4738E">
      <w:pPr>
        <w:autoSpaceDE w:val="0"/>
        <w:autoSpaceDN w:val="0"/>
        <w:adjustRightInd w:val="0"/>
        <w:spacing w:after="0" w:line="336" w:lineRule="auto"/>
        <w:jc w:val="both"/>
        <w:rPr>
          <w:rFonts w:ascii="Arial" w:hAnsi="Arial" w:cs="Arial"/>
          <w:color w:val="000000"/>
          <w:sz w:val="24"/>
          <w:szCs w:val="24"/>
          <w:lang w:bidi="hi-IN"/>
        </w:rPr>
      </w:pPr>
      <w:r>
        <w:rPr>
          <w:rFonts w:ascii="Arial" w:hAnsi="Arial" w:cs="Arial"/>
          <w:color w:val="000000"/>
          <w:sz w:val="24"/>
          <w:szCs w:val="24"/>
          <w:lang w:bidi="hi-IN"/>
        </w:rPr>
        <w:t xml:space="preserve">The facilities provided in REMCs are very </w:t>
      </w:r>
      <w:proofErr w:type="spellStart"/>
      <w:r>
        <w:rPr>
          <w:rFonts w:ascii="Arial" w:hAnsi="Arial" w:cs="Arial"/>
          <w:color w:val="000000"/>
          <w:sz w:val="24"/>
          <w:szCs w:val="24"/>
          <w:lang w:bidi="hi-IN"/>
        </w:rPr>
        <w:t>very</w:t>
      </w:r>
      <w:proofErr w:type="spellEnd"/>
      <w:r>
        <w:rPr>
          <w:rFonts w:ascii="Arial" w:hAnsi="Arial" w:cs="Arial"/>
          <w:color w:val="000000"/>
          <w:sz w:val="24"/>
          <w:szCs w:val="24"/>
          <w:lang w:bidi="hi-IN"/>
        </w:rPr>
        <w:t xml:space="preserve"> useful in managing renewable ener</w:t>
      </w:r>
      <w:r w:rsidR="003B698D">
        <w:rPr>
          <w:rFonts w:ascii="Arial" w:hAnsi="Arial" w:cs="Arial"/>
          <w:color w:val="000000"/>
          <w:sz w:val="24"/>
          <w:szCs w:val="24"/>
          <w:lang w:bidi="hi-IN"/>
        </w:rPr>
        <w:t>g</w:t>
      </w:r>
      <w:r>
        <w:rPr>
          <w:rFonts w:ascii="Arial" w:hAnsi="Arial" w:cs="Arial"/>
          <w:color w:val="000000"/>
          <w:sz w:val="24"/>
          <w:szCs w:val="24"/>
          <w:lang w:bidi="hi-IN"/>
        </w:rPr>
        <w:t>y generation</w:t>
      </w:r>
      <w:r w:rsidR="003B698D">
        <w:rPr>
          <w:rFonts w:ascii="Arial" w:hAnsi="Arial" w:cs="Arial"/>
          <w:color w:val="000000"/>
          <w:sz w:val="24"/>
          <w:szCs w:val="24"/>
          <w:lang w:bidi="hi-IN"/>
        </w:rPr>
        <w:t xml:space="preserve"> on day to day basis. Some experiences are as follows:</w:t>
      </w:r>
      <w:bookmarkStart w:id="0" w:name="_GoBack"/>
      <w:bookmarkEnd w:id="0"/>
      <w:r w:rsidR="00733DF1"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</w:t>
      </w:r>
    </w:p>
    <w:p w:rsidR="00D04C8E" w:rsidRDefault="00D04C8E" w:rsidP="00733D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bidi="hi-IN"/>
        </w:rPr>
      </w:pPr>
    </w:p>
    <w:p w:rsidR="00B4738E" w:rsidRDefault="00B4738E" w:rsidP="00B473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b/>
          <w:bCs/>
          <w:sz w:val="24"/>
          <w:szCs w:val="24"/>
          <w:lang w:bidi="hi-IN"/>
        </w:rPr>
      </w:pPr>
      <w:r w:rsidRPr="00B4738E">
        <w:rPr>
          <w:rFonts w:ascii="Arial" w:hAnsi="Arial" w:cs="Arial"/>
          <w:b/>
          <w:bCs/>
          <w:sz w:val="24"/>
          <w:szCs w:val="24"/>
          <w:lang w:bidi="hi-IN"/>
        </w:rPr>
        <w:t>Managing Solar Eclipse</w:t>
      </w:r>
    </w:p>
    <w:p w:rsidR="00B4738E" w:rsidRPr="00B4738E" w:rsidRDefault="00B4738E" w:rsidP="00B4738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b/>
          <w:bCs/>
          <w:sz w:val="24"/>
          <w:szCs w:val="24"/>
          <w:lang w:bidi="hi-IN"/>
        </w:rPr>
      </w:pPr>
    </w:p>
    <w:p w:rsidR="00D04C8E" w:rsidRPr="00B4738E" w:rsidRDefault="00D04C8E" w:rsidP="00B4738E">
      <w:pPr>
        <w:autoSpaceDE w:val="0"/>
        <w:autoSpaceDN w:val="0"/>
        <w:adjustRightInd w:val="0"/>
        <w:spacing w:after="0" w:line="336" w:lineRule="auto"/>
        <w:jc w:val="both"/>
        <w:rPr>
          <w:rFonts w:ascii="Arial" w:hAnsi="Arial" w:cs="Arial"/>
          <w:color w:val="000000"/>
          <w:sz w:val="24"/>
          <w:szCs w:val="24"/>
          <w:lang w:bidi="hi-IN"/>
        </w:rPr>
      </w:pPr>
      <w:r w:rsidRPr="00B4738E">
        <w:rPr>
          <w:rFonts w:ascii="Arial" w:hAnsi="Arial" w:cs="Arial"/>
          <w:color w:val="000000"/>
          <w:sz w:val="24"/>
          <w:szCs w:val="24"/>
          <w:lang w:bidi="hi-IN"/>
        </w:rPr>
        <w:t>India has experienced annular solar eclipse twice within a span of few months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and the effect could be predicted through the REMCs and could be monitored in real time basis to facilitate reliable grid operation. </w:t>
      </w:r>
    </w:p>
    <w:p w:rsidR="0026616C" w:rsidRDefault="0026616C" w:rsidP="00D04C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bidi="hi-IN"/>
        </w:rPr>
      </w:pPr>
    </w:p>
    <w:p w:rsidR="00D04C8E" w:rsidRPr="00B4738E" w:rsidRDefault="00D04C8E" w:rsidP="00B4738E">
      <w:pPr>
        <w:autoSpaceDE w:val="0"/>
        <w:autoSpaceDN w:val="0"/>
        <w:adjustRightInd w:val="0"/>
        <w:spacing w:after="0" w:line="336" w:lineRule="auto"/>
        <w:jc w:val="both"/>
        <w:rPr>
          <w:rFonts w:ascii="Arial" w:hAnsi="Arial" w:cs="Arial"/>
          <w:color w:val="000000"/>
          <w:sz w:val="24"/>
          <w:szCs w:val="24"/>
          <w:lang w:bidi="hi-IN"/>
        </w:rPr>
      </w:pPr>
      <w:r w:rsidRPr="00B4738E">
        <w:rPr>
          <w:rFonts w:ascii="Arial" w:hAnsi="Arial" w:cs="Arial"/>
          <w:color w:val="000000"/>
          <w:sz w:val="24"/>
          <w:szCs w:val="24"/>
          <w:lang w:bidi="hi-IN"/>
        </w:rPr>
        <w:t>26th December 2019: Annular eclipse of the sun was mainly visible mainly in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>the Southern part of India in the states of Kerala, Tamil Nadu and Karnataka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>while rest of the country witnessed partial eclipse of the Sun. During the solar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>eclipse on 26th December 2019, there was all India reduction of 6.5 GW solar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>generation as compared to the solar generation on 25th December 2019. All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>India demand reduced by 2.4% with an instantaneous maximum reduction of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>4.2%. After the eclipse was over, all India demand increased by 6372 MW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>which led to all India demand crossing 170GW which was the highest in the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>month of December 2019.</w:t>
      </w:r>
    </w:p>
    <w:p w:rsidR="00D04C8E" w:rsidRDefault="00D04C8E" w:rsidP="00D04C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bidi="hi-IN"/>
        </w:rPr>
      </w:pPr>
    </w:p>
    <w:p w:rsidR="0026616C" w:rsidRPr="00B4738E" w:rsidRDefault="00D04C8E" w:rsidP="00B4738E">
      <w:pPr>
        <w:autoSpaceDE w:val="0"/>
        <w:autoSpaceDN w:val="0"/>
        <w:adjustRightInd w:val="0"/>
        <w:spacing w:after="0" w:line="336" w:lineRule="auto"/>
        <w:jc w:val="both"/>
        <w:rPr>
          <w:rFonts w:ascii="Arial" w:hAnsi="Arial" w:cs="Arial"/>
          <w:color w:val="000000"/>
          <w:sz w:val="24"/>
          <w:szCs w:val="24"/>
          <w:lang w:bidi="hi-IN"/>
        </w:rPr>
      </w:pPr>
      <w:r w:rsidRPr="00B4738E">
        <w:rPr>
          <w:rFonts w:ascii="Arial" w:hAnsi="Arial" w:cs="Arial"/>
          <w:color w:val="000000"/>
          <w:sz w:val="24"/>
          <w:szCs w:val="24"/>
          <w:lang w:bidi="hi-IN"/>
        </w:rPr>
        <w:t>• 21st June 2020: Annular eclipse of the sun was mainly visible in Northern part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>of India in the states of Rajasthan, New Delhi, Punjab, western Uttar Pradesh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and </w:t>
      </w:r>
      <w:proofErr w:type="spellStart"/>
      <w:r w:rsidRPr="00B4738E">
        <w:rPr>
          <w:rFonts w:ascii="Arial" w:hAnsi="Arial" w:cs="Arial"/>
          <w:color w:val="000000"/>
          <w:sz w:val="24"/>
          <w:szCs w:val="24"/>
          <w:lang w:bidi="hi-IN"/>
        </w:rPr>
        <w:t>Uttrakhand</w:t>
      </w:r>
      <w:proofErr w:type="spellEnd"/>
      <w:r w:rsidRPr="00B4738E">
        <w:rPr>
          <w:rFonts w:ascii="Arial" w:hAnsi="Arial" w:cs="Arial"/>
          <w:color w:val="000000"/>
          <w:sz w:val="24"/>
          <w:szCs w:val="24"/>
          <w:lang w:bidi="hi-IN"/>
        </w:rPr>
        <w:t>. There was solar generation reduction of 11160 MW at all India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level on 21st June 2020 as 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lastRenderedPageBreak/>
        <w:t>compared to solar generation on 20th June 2020.</w:t>
      </w:r>
      <w:r w:rsidR="0026616C" w:rsidRPr="00B4738E">
        <w:rPr>
          <w:rFonts w:ascii="Arial" w:hAnsi="Arial" w:cs="Arial"/>
          <w:color w:val="000000"/>
          <w:sz w:val="24"/>
          <w:szCs w:val="24"/>
          <w:lang w:bidi="hi-IN"/>
        </w:rPr>
        <w:t>D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>emand</w:t>
      </w:r>
      <w:r w:rsidR="0026616C"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>reduced from 145 GW to 142 GW at maximum eclipse time. All India demand</w:t>
      </w:r>
      <w:r w:rsidR="0026616C"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>started increasing gradually from minimum of 142 GW to 151 GW after end of</w:t>
      </w:r>
      <w:r w:rsidR="0026616C"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the eclipse. </w:t>
      </w:r>
    </w:p>
    <w:p w:rsidR="0026616C" w:rsidRDefault="0026616C" w:rsidP="0026616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bidi="hi-IN"/>
        </w:rPr>
      </w:pPr>
    </w:p>
    <w:p w:rsidR="0026616C" w:rsidRPr="00B4738E" w:rsidRDefault="00D04C8E" w:rsidP="00B4738E">
      <w:pPr>
        <w:autoSpaceDE w:val="0"/>
        <w:autoSpaceDN w:val="0"/>
        <w:adjustRightInd w:val="0"/>
        <w:spacing w:after="0" w:line="336" w:lineRule="auto"/>
        <w:jc w:val="both"/>
        <w:rPr>
          <w:rFonts w:ascii="Arial" w:hAnsi="Arial" w:cs="Arial"/>
          <w:color w:val="000000"/>
          <w:sz w:val="24"/>
          <w:szCs w:val="24"/>
          <w:lang w:bidi="hi-IN"/>
        </w:rPr>
      </w:pPr>
      <w:r w:rsidRPr="00B4738E">
        <w:rPr>
          <w:rFonts w:ascii="Arial" w:hAnsi="Arial" w:cs="Arial"/>
          <w:color w:val="000000"/>
          <w:sz w:val="24"/>
          <w:szCs w:val="24"/>
          <w:lang w:bidi="hi-IN"/>
        </w:rPr>
        <w:t>It is pertinent to mention that India was in the unlocking phase</w:t>
      </w:r>
      <w:r w:rsidR="0026616C"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>during June 2020</w:t>
      </w:r>
      <w:r w:rsidR="0026616C"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>after a countrywide lockdown due to the COVID-19</w:t>
      </w:r>
      <w:r w:rsidR="0026616C"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pandemic. It was an unprecedented situation which made </w:t>
      </w:r>
      <w:r w:rsidR="0026616C" w:rsidRPr="00B4738E">
        <w:rPr>
          <w:rFonts w:ascii="Arial" w:hAnsi="Arial" w:cs="Arial"/>
          <w:color w:val="000000"/>
          <w:sz w:val="24"/>
          <w:szCs w:val="24"/>
          <w:lang w:bidi="hi-IN"/>
        </w:rPr>
        <w:t>RE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forecasting</w:t>
      </w:r>
      <w:r w:rsidR="0026616C"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>a challenge for system operators</w:t>
      </w:r>
      <w:r w:rsidR="0026616C"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which could be accomplished through REMCs.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</w:t>
      </w:r>
      <w:r w:rsidR="0026616C"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</w:t>
      </w:r>
    </w:p>
    <w:p w:rsidR="0026616C" w:rsidRDefault="0026616C" w:rsidP="0026616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bidi="hi-IN"/>
        </w:rPr>
      </w:pPr>
    </w:p>
    <w:p w:rsidR="0026616C" w:rsidRDefault="00B4738E" w:rsidP="00B473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b/>
          <w:bCs/>
          <w:sz w:val="24"/>
          <w:szCs w:val="24"/>
          <w:lang w:bidi="hi-IN"/>
        </w:rPr>
      </w:pPr>
      <w:r w:rsidRPr="00B4738E">
        <w:rPr>
          <w:rFonts w:ascii="Arial" w:hAnsi="Arial" w:cs="Arial"/>
          <w:b/>
          <w:bCs/>
          <w:sz w:val="24"/>
          <w:szCs w:val="24"/>
          <w:lang w:bidi="hi-IN"/>
        </w:rPr>
        <w:t>Managing</w:t>
      </w:r>
      <w:r w:rsidR="0026616C" w:rsidRPr="00B4738E">
        <w:rPr>
          <w:rFonts w:ascii="Arial" w:hAnsi="Arial" w:cs="Arial"/>
          <w:b/>
          <w:bCs/>
          <w:sz w:val="24"/>
          <w:szCs w:val="24"/>
          <w:lang w:bidi="hi-IN"/>
        </w:rPr>
        <w:t xml:space="preserve"> cyclone </w:t>
      </w:r>
      <w:proofErr w:type="spellStart"/>
      <w:r w:rsidR="0026616C" w:rsidRPr="00B4738E">
        <w:rPr>
          <w:rFonts w:ascii="Arial" w:hAnsi="Arial" w:cs="Arial"/>
          <w:b/>
          <w:bCs/>
          <w:sz w:val="24"/>
          <w:szCs w:val="24"/>
          <w:lang w:bidi="hi-IN"/>
        </w:rPr>
        <w:t>Nivar</w:t>
      </w:r>
      <w:proofErr w:type="spellEnd"/>
      <w:r w:rsidR="0026616C" w:rsidRPr="00B4738E">
        <w:rPr>
          <w:rFonts w:ascii="Arial" w:hAnsi="Arial" w:cs="Arial"/>
          <w:b/>
          <w:bCs/>
          <w:sz w:val="24"/>
          <w:szCs w:val="24"/>
          <w:lang w:bidi="hi-IN"/>
        </w:rPr>
        <w:t xml:space="preserve"> on 25th and 26th Nov 2020</w:t>
      </w:r>
    </w:p>
    <w:p w:rsidR="00B4738E" w:rsidRPr="00B4738E" w:rsidRDefault="00B4738E" w:rsidP="00B4738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b/>
          <w:bCs/>
          <w:sz w:val="24"/>
          <w:szCs w:val="24"/>
          <w:lang w:bidi="hi-IN"/>
        </w:rPr>
      </w:pPr>
    </w:p>
    <w:p w:rsidR="0026616C" w:rsidRPr="00B4738E" w:rsidRDefault="0026616C" w:rsidP="00B4738E">
      <w:pPr>
        <w:autoSpaceDE w:val="0"/>
        <w:autoSpaceDN w:val="0"/>
        <w:adjustRightInd w:val="0"/>
        <w:spacing w:after="0" w:line="336" w:lineRule="auto"/>
        <w:jc w:val="both"/>
        <w:rPr>
          <w:rFonts w:ascii="Arial" w:hAnsi="Arial" w:cs="Arial"/>
          <w:color w:val="000000"/>
          <w:sz w:val="24"/>
          <w:szCs w:val="24"/>
          <w:lang w:bidi="hi-IN"/>
        </w:rPr>
      </w:pPr>
      <w:r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Cyclonic Storm </w:t>
      </w:r>
      <w:r w:rsidRPr="00B4738E">
        <w:rPr>
          <w:rFonts w:ascii="Arial" w:hAnsi="Arial" w:cs="Arial" w:hint="eastAsia"/>
          <w:color w:val="000000"/>
          <w:sz w:val="24"/>
          <w:szCs w:val="24"/>
          <w:lang w:bidi="hi-IN"/>
        </w:rPr>
        <w:t>“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>NIVAR</w:t>
      </w:r>
      <w:r w:rsidRPr="00B4738E">
        <w:rPr>
          <w:rFonts w:ascii="Arial" w:hAnsi="Arial" w:cs="Arial" w:hint="eastAsia"/>
          <w:color w:val="000000"/>
          <w:sz w:val="24"/>
          <w:szCs w:val="24"/>
          <w:lang w:bidi="hi-IN"/>
        </w:rPr>
        <w:t>”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over southwest Bay of Bengal Bay of Bengal (</w:t>
      </w:r>
      <w:proofErr w:type="spellStart"/>
      <w:r w:rsidRPr="00B4738E">
        <w:rPr>
          <w:rFonts w:ascii="Arial" w:hAnsi="Arial" w:cs="Arial"/>
          <w:color w:val="000000"/>
          <w:sz w:val="24"/>
          <w:szCs w:val="24"/>
          <w:lang w:bidi="hi-IN"/>
        </w:rPr>
        <w:t>BoB</w:t>
      </w:r>
      <w:proofErr w:type="spellEnd"/>
      <w:r w:rsidRPr="00B4738E">
        <w:rPr>
          <w:rFonts w:ascii="Arial" w:hAnsi="Arial" w:cs="Arial"/>
          <w:color w:val="000000"/>
          <w:sz w:val="24"/>
          <w:szCs w:val="24"/>
          <w:lang w:bidi="hi-IN"/>
        </w:rPr>
        <w:t>) moved</w:t>
      </w:r>
      <w:r w:rsid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</w:t>
      </w:r>
      <w:proofErr w:type="spellStart"/>
      <w:r w:rsidRPr="00B4738E">
        <w:rPr>
          <w:rFonts w:ascii="Arial" w:hAnsi="Arial" w:cs="Arial"/>
          <w:color w:val="000000"/>
          <w:sz w:val="24"/>
          <w:szCs w:val="24"/>
          <w:lang w:bidi="hi-IN"/>
        </w:rPr>
        <w:t>northwestwards</w:t>
      </w:r>
      <w:proofErr w:type="spellEnd"/>
      <w:r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and crossed Tamil</w:t>
      </w:r>
      <w:r w:rsidR="00B4738E"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N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>adu and Puducherry coasts near Puducherry</w:t>
      </w:r>
      <w:r w:rsidR="0048269B"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>(near latitude 12.1°N and longitude 79.9°E) during 2330 IST of 25th to 0230 IST of</w:t>
      </w:r>
      <w:r w:rsidR="0048269B"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26th November as a very severe cyclonic storm with an estimated wind speed of 120-130 kmph gusting to 145 kmph. </w:t>
      </w:r>
      <w:r w:rsidR="0048269B"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The wind generation could be monitored in real time and i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>t is observed that there was an increase of 1484 MW of wind generation in SR region</w:t>
      </w:r>
      <w:r w:rsidR="0048269B"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>during the Cyclone Impact Day (26th 03:30 hrs).</w:t>
      </w:r>
      <w:r w:rsidR="0048269B"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</w:t>
      </w:r>
      <w:r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</w:t>
      </w:r>
      <w:r w:rsidR="0048269B" w:rsidRP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</w:t>
      </w:r>
    </w:p>
    <w:p w:rsidR="0001378A" w:rsidRDefault="0001378A" w:rsidP="0026616C">
      <w:pPr>
        <w:autoSpaceDE w:val="0"/>
        <w:autoSpaceDN w:val="0"/>
        <w:adjustRightInd w:val="0"/>
        <w:spacing w:after="0" w:line="240" w:lineRule="auto"/>
        <w:jc w:val="both"/>
      </w:pPr>
    </w:p>
    <w:p w:rsidR="0001378A" w:rsidRDefault="0001378A" w:rsidP="00B473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b/>
          <w:bCs/>
          <w:sz w:val="24"/>
          <w:szCs w:val="24"/>
          <w:lang w:bidi="hi-IN"/>
        </w:rPr>
      </w:pPr>
      <w:r w:rsidRPr="00B4738E">
        <w:rPr>
          <w:rFonts w:ascii="Arial" w:hAnsi="Arial" w:cs="Arial"/>
          <w:b/>
          <w:bCs/>
          <w:sz w:val="24"/>
          <w:szCs w:val="24"/>
          <w:lang w:bidi="hi-IN"/>
        </w:rPr>
        <w:t>Voltage Profile at ISTS connected RE stations</w:t>
      </w:r>
    </w:p>
    <w:p w:rsidR="00B4738E" w:rsidRPr="00B4738E" w:rsidRDefault="00B4738E" w:rsidP="00B4738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b/>
          <w:bCs/>
          <w:sz w:val="24"/>
          <w:szCs w:val="24"/>
          <w:lang w:bidi="hi-IN"/>
        </w:rPr>
      </w:pPr>
    </w:p>
    <w:p w:rsidR="0001378A" w:rsidRDefault="0001378A" w:rsidP="00B4738E">
      <w:pPr>
        <w:autoSpaceDE w:val="0"/>
        <w:autoSpaceDN w:val="0"/>
        <w:adjustRightInd w:val="0"/>
        <w:spacing w:after="0" w:line="336" w:lineRule="auto"/>
        <w:jc w:val="both"/>
        <w:rPr>
          <w:rFonts w:ascii="Arial" w:hAnsi="Arial" w:cs="Arial"/>
          <w:color w:val="000000"/>
          <w:sz w:val="24"/>
          <w:szCs w:val="24"/>
          <w:lang w:bidi="hi-IN"/>
        </w:rPr>
      </w:pPr>
      <w:r>
        <w:rPr>
          <w:rFonts w:ascii="Arial" w:hAnsi="Arial" w:cs="Arial"/>
          <w:color w:val="000000"/>
          <w:sz w:val="24"/>
          <w:szCs w:val="24"/>
          <w:lang w:bidi="hi-IN"/>
        </w:rPr>
        <w:t>With a high RE addition target set by India, ultra-mega solar and wind power parks are</w:t>
      </w:r>
      <w:r w:rsidR="0048269B">
        <w:rPr>
          <w:rFonts w:ascii="Arial" w:hAnsi="Arial" w:cs="Arial"/>
          <w:color w:val="000000"/>
          <w:sz w:val="24"/>
          <w:szCs w:val="24"/>
          <w:lang w:bidi="hi-IN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bidi="hi-IN"/>
        </w:rPr>
        <w:t>getting commissioned and need of the hour. RE generation at ISTS system is being</w:t>
      </w:r>
      <w:r w:rsidR="0048269B">
        <w:rPr>
          <w:rFonts w:ascii="Arial" w:hAnsi="Arial" w:cs="Arial"/>
          <w:color w:val="000000"/>
          <w:sz w:val="24"/>
          <w:szCs w:val="24"/>
          <w:lang w:bidi="hi-IN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bidi="hi-IN"/>
        </w:rPr>
        <w:t>integrated at fast pace. Consequently, voltage excursions are being experienced at</w:t>
      </w:r>
      <w:r w:rsidR="0048269B">
        <w:rPr>
          <w:rFonts w:ascii="Arial" w:hAnsi="Arial" w:cs="Arial"/>
          <w:color w:val="000000"/>
          <w:sz w:val="24"/>
          <w:szCs w:val="24"/>
          <w:lang w:bidi="hi-IN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bidi="hi-IN"/>
        </w:rPr>
        <w:t>RE pooling stations during day and night hours on daily basis.</w:t>
      </w:r>
    </w:p>
    <w:p w:rsidR="00B4738E" w:rsidRDefault="00B4738E" w:rsidP="004826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bidi="hi-IN"/>
        </w:rPr>
      </w:pPr>
    </w:p>
    <w:p w:rsidR="0001378A" w:rsidRPr="0048269B" w:rsidRDefault="0048269B" w:rsidP="00B4738E">
      <w:pPr>
        <w:autoSpaceDE w:val="0"/>
        <w:autoSpaceDN w:val="0"/>
        <w:adjustRightInd w:val="0"/>
        <w:spacing w:after="0" w:line="336" w:lineRule="auto"/>
        <w:jc w:val="both"/>
        <w:rPr>
          <w:rFonts w:ascii="Arial" w:hAnsi="Arial" w:cs="Arial"/>
          <w:color w:val="000000"/>
          <w:sz w:val="24"/>
          <w:szCs w:val="24"/>
          <w:lang w:bidi="hi-IN"/>
        </w:rPr>
      </w:pPr>
      <w:r w:rsidRPr="0048269B">
        <w:rPr>
          <w:rFonts w:ascii="Arial" w:hAnsi="Arial" w:cs="Arial"/>
          <w:color w:val="000000"/>
          <w:sz w:val="24"/>
          <w:szCs w:val="24"/>
          <w:lang w:bidi="hi-IN"/>
        </w:rPr>
        <w:t xml:space="preserve">Operation of various solar plant connected to ISTS could be monitored </w:t>
      </w:r>
      <w:r>
        <w:rPr>
          <w:rFonts w:ascii="Arial" w:hAnsi="Arial" w:cs="Arial"/>
          <w:color w:val="000000"/>
          <w:sz w:val="24"/>
          <w:szCs w:val="24"/>
          <w:lang w:bidi="hi-IN"/>
        </w:rPr>
        <w:t>to ensure compliance of the CEA’s Technical Standards.</w:t>
      </w:r>
    </w:p>
    <w:p w:rsidR="0001378A" w:rsidRDefault="0048269B" w:rsidP="00B473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 </w:t>
      </w:r>
    </w:p>
    <w:p w:rsidR="0001378A" w:rsidRDefault="0048269B" w:rsidP="00B473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b/>
          <w:bCs/>
          <w:sz w:val="24"/>
          <w:szCs w:val="24"/>
          <w:lang w:bidi="hi-IN"/>
        </w:rPr>
      </w:pPr>
      <w:r w:rsidRPr="00B4738E">
        <w:rPr>
          <w:rFonts w:ascii="Arial" w:hAnsi="Arial" w:cs="Arial"/>
          <w:b/>
          <w:bCs/>
          <w:sz w:val="24"/>
          <w:szCs w:val="24"/>
          <w:lang w:bidi="hi-IN"/>
        </w:rPr>
        <w:t>M</w:t>
      </w:r>
      <w:r w:rsidR="0001378A" w:rsidRPr="00B4738E">
        <w:rPr>
          <w:rFonts w:ascii="Arial" w:hAnsi="Arial" w:cs="Arial"/>
          <w:b/>
          <w:bCs/>
          <w:sz w:val="24"/>
          <w:szCs w:val="24"/>
          <w:lang w:bidi="hi-IN"/>
        </w:rPr>
        <w:t>ock Reactive Power Capability Tests</w:t>
      </w:r>
    </w:p>
    <w:p w:rsidR="00B4738E" w:rsidRPr="00B4738E" w:rsidRDefault="00B4738E" w:rsidP="00B4738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b/>
          <w:bCs/>
          <w:sz w:val="24"/>
          <w:szCs w:val="24"/>
          <w:lang w:bidi="hi-IN"/>
        </w:rPr>
      </w:pPr>
    </w:p>
    <w:p w:rsidR="0001378A" w:rsidRDefault="0048269B" w:rsidP="00B4738E">
      <w:pPr>
        <w:autoSpaceDE w:val="0"/>
        <w:autoSpaceDN w:val="0"/>
        <w:adjustRightInd w:val="0"/>
        <w:spacing w:after="0" w:line="336" w:lineRule="auto"/>
        <w:jc w:val="both"/>
        <w:rPr>
          <w:rFonts w:ascii="Arial" w:hAnsi="Arial" w:cs="Arial"/>
          <w:color w:val="000000"/>
          <w:sz w:val="24"/>
          <w:szCs w:val="24"/>
          <w:lang w:bidi="hi-IN"/>
        </w:rPr>
      </w:pPr>
      <w:r>
        <w:rPr>
          <w:rFonts w:ascii="Arial" w:hAnsi="Arial" w:cs="Arial"/>
          <w:color w:val="000000"/>
          <w:sz w:val="24"/>
          <w:szCs w:val="24"/>
          <w:lang w:bidi="hi-IN"/>
        </w:rPr>
        <w:t>Mock</w:t>
      </w:r>
      <w:r w:rsid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r</w:t>
      </w:r>
      <w:r w:rsidR="0001378A">
        <w:rPr>
          <w:rFonts w:ascii="Arial" w:hAnsi="Arial" w:cs="Arial"/>
          <w:color w:val="000000"/>
          <w:sz w:val="24"/>
          <w:szCs w:val="24"/>
          <w:lang w:bidi="hi-IN"/>
        </w:rPr>
        <w:t xml:space="preserve">eactive </w:t>
      </w:r>
      <w:r w:rsidR="00B4738E">
        <w:rPr>
          <w:rFonts w:ascii="Arial" w:hAnsi="Arial" w:cs="Arial"/>
          <w:color w:val="000000"/>
          <w:sz w:val="24"/>
          <w:szCs w:val="24"/>
          <w:lang w:bidi="hi-IN"/>
        </w:rPr>
        <w:t>p</w:t>
      </w:r>
      <w:r w:rsidR="0001378A">
        <w:rPr>
          <w:rFonts w:ascii="Arial" w:hAnsi="Arial" w:cs="Arial"/>
          <w:color w:val="000000"/>
          <w:sz w:val="24"/>
          <w:szCs w:val="24"/>
          <w:lang w:bidi="hi-IN"/>
        </w:rPr>
        <w:t xml:space="preserve">ower </w:t>
      </w:r>
      <w:r w:rsidR="00B4738E">
        <w:rPr>
          <w:rFonts w:ascii="Arial" w:hAnsi="Arial" w:cs="Arial"/>
          <w:color w:val="000000"/>
          <w:sz w:val="24"/>
          <w:szCs w:val="24"/>
          <w:lang w:bidi="hi-IN"/>
        </w:rPr>
        <w:t>c</w:t>
      </w:r>
      <w:r w:rsidR="0001378A">
        <w:rPr>
          <w:rFonts w:ascii="Arial" w:hAnsi="Arial" w:cs="Arial"/>
          <w:color w:val="000000"/>
          <w:sz w:val="24"/>
          <w:szCs w:val="24"/>
          <w:lang w:bidi="hi-IN"/>
        </w:rPr>
        <w:t xml:space="preserve">apability tests </w:t>
      </w:r>
      <w:proofErr w:type="gramStart"/>
      <w:r w:rsidR="00B4738E">
        <w:rPr>
          <w:rFonts w:ascii="Arial" w:hAnsi="Arial" w:cs="Arial"/>
          <w:color w:val="000000"/>
          <w:sz w:val="24"/>
          <w:szCs w:val="24"/>
          <w:lang w:bidi="hi-IN"/>
        </w:rPr>
        <w:t>was</w:t>
      </w:r>
      <w:proofErr w:type="gramEnd"/>
      <w:r w:rsidR="00B4738E">
        <w:rPr>
          <w:rFonts w:ascii="Arial" w:hAnsi="Arial" w:cs="Arial"/>
          <w:color w:val="000000"/>
          <w:sz w:val="24"/>
          <w:szCs w:val="24"/>
          <w:lang w:bidi="hi-IN"/>
        </w:rPr>
        <w:t xml:space="preserve"> carried out </w:t>
      </w:r>
      <w:r w:rsidR="0001378A">
        <w:rPr>
          <w:rFonts w:ascii="Arial" w:hAnsi="Arial" w:cs="Arial"/>
          <w:color w:val="000000"/>
          <w:sz w:val="24"/>
          <w:szCs w:val="24"/>
          <w:lang w:bidi="hi-IN"/>
        </w:rPr>
        <w:t xml:space="preserve">test at </w:t>
      </w:r>
      <w:proofErr w:type="spellStart"/>
      <w:r w:rsidR="0001378A">
        <w:rPr>
          <w:rFonts w:ascii="Arial" w:hAnsi="Arial" w:cs="Arial"/>
          <w:color w:val="000000"/>
          <w:sz w:val="24"/>
          <w:szCs w:val="24"/>
          <w:lang w:bidi="hi-IN"/>
        </w:rPr>
        <w:t>Pavagada</w:t>
      </w:r>
      <w:proofErr w:type="spellEnd"/>
      <w:r w:rsidR="0001378A">
        <w:rPr>
          <w:rFonts w:ascii="Arial" w:hAnsi="Arial" w:cs="Arial"/>
          <w:color w:val="000000"/>
          <w:sz w:val="24"/>
          <w:szCs w:val="24"/>
          <w:lang w:bidi="hi-IN"/>
        </w:rPr>
        <w:t xml:space="preserve"> Ultra Mega Solar Park and at </w:t>
      </w:r>
      <w:proofErr w:type="spellStart"/>
      <w:r w:rsidR="0001378A">
        <w:rPr>
          <w:rFonts w:ascii="Arial" w:hAnsi="Arial" w:cs="Arial"/>
          <w:color w:val="000000"/>
          <w:sz w:val="24"/>
          <w:szCs w:val="24"/>
          <w:lang w:bidi="hi-IN"/>
        </w:rPr>
        <w:t>Sprng</w:t>
      </w:r>
      <w:proofErr w:type="spellEnd"/>
      <w:r w:rsidR="0001378A">
        <w:rPr>
          <w:rFonts w:ascii="Arial" w:hAnsi="Arial" w:cs="Arial"/>
          <w:color w:val="000000"/>
          <w:sz w:val="24"/>
          <w:szCs w:val="24"/>
          <w:lang w:bidi="hi-IN"/>
        </w:rPr>
        <w:t xml:space="preserve"> </w:t>
      </w:r>
      <w:proofErr w:type="spellStart"/>
      <w:r w:rsidR="0001378A">
        <w:rPr>
          <w:rFonts w:ascii="Arial" w:hAnsi="Arial" w:cs="Arial"/>
          <w:color w:val="000000"/>
          <w:sz w:val="24"/>
          <w:szCs w:val="24"/>
          <w:lang w:bidi="hi-IN"/>
        </w:rPr>
        <w:t>Agnitra</w:t>
      </w:r>
      <w:proofErr w:type="spellEnd"/>
      <w:r w:rsidR="0001378A">
        <w:rPr>
          <w:rFonts w:ascii="Arial" w:hAnsi="Arial" w:cs="Arial"/>
          <w:color w:val="000000"/>
          <w:sz w:val="24"/>
          <w:szCs w:val="24"/>
          <w:lang w:bidi="hi-IN"/>
        </w:rPr>
        <w:t xml:space="preserve"> Solar at </w:t>
      </w:r>
      <w:proofErr w:type="spellStart"/>
      <w:r w:rsidR="0001378A">
        <w:rPr>
          <w:rFonts w:ascii="Arial" w:hAnsi="Arial" w:cs="Arial"/>
          <w:color w:val="000000"/>
          <w:sz w:val="24"/>
          <w:szCs w:val="24"/>
          <w:lang w:bidi="hi-IN"/>
        </w:rPr>
        <w:t>NPKunta</w:t>
      </w:r>
      <w:proofErr w:type="spellEnd"/>
      <w:r w:rsidR="0001378A">
        <w:rPr>
          <w:rFonts w:ascii="Arial" w:hAnsi="Arial" w:cs="Arial"/>
          <w:color w:val="000000"/>
          <w:sz w:val="24"/>
          <w:szCs w:val="24"/>
          <w:lang w:bidi="hi-IN"/>
        </w:rPr>
        <w:t xml:space="preserve"> Ultra Mega Solar Park. The </w:t>
      </w:r>
      <w:r w:rsidR="00B4738E">
        <w:rPr>
          <w:rFonts w:ascii="Arial" w:hAnsi="Arial" w:cs="Arial"/>
          <w:color w:val="000000"/>
          <w:sz w:val="24"/>
          <w:szCs w:val="24"/>
          <w:lang w:bidi="hi-IN"/>
        </w:rPr>
        <w:t>Station could be monitored in real time.</w:t>
      </w:r>
    </w:p>
    <w:sectPr w:rsidR="0001378A" w:rsidSect="00B4738E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92421"/>
    <w:multiLevelType w:val="hybridMultilevel"/>
    <w:tmpl w:val="E886D9B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DF1"/>
    <w:rsid w:val="0001378A"/>
    <w:rsid w:val="000644FF"/>
    <w:rsid w:val="0026616C"/>
    <w:rsid w:val="003B698D"/>
    <w:rsid w:val="0048269B"/>
    <w:rsid w:val="00733DF1"/>
    <w:rsid w:val="00B4738E"/>
    <w:rsid w:val="00D0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CCB2"/>
  <w15:chartTrackingRefBased/>
  <w15:docId w15:val="{1EF47A21-F4E9-480D-AB3E-A3B53387E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posoco</dc:creator>
  <cp:keywords/>
  <dc:description/>
  <cp:lastModifiedBy>posoco</cp:lastModifiedBy>
  <cp:revision>1</cp:revision>
  <dcterms:created xsi:type="dcterms:W3CDTF">2021-12-02T06:02:00Z</dcterms:created>
  <dcterms:modified xsi:type="dcterms:W3CDTF">2021-12-02T07:10:00Z</dcterms:modified>
</cp:coreProperties>
</file>