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sz w:val="44"/>
          <w:szCs w:val="44"/>
        </w:rPr>
        <w:t xml:space="preserve">Smart Expense Categorization</w:t>
      </w:r>
    </w:p>
    <w:p>
      <w:pPr>
        <w:spacing w:after="100"/>
        <w:jc w:val="center"/>
      </w:pPr>
      <w:r>
        <w:rPr>
          <w:i/>
          <w:iCs/>
          <w:sz w:val="26"/>
          <w:szCs w:val="26"/>
        </w:rPr>
        <w:t xml:space="preserve">AI Feature Specification &amp; POC Implementation</w:t>
      </w:r>
    </w:p>
    <w:p>
      <w:pPr>
        <w:spacing w:after="400"/>
        <w:jc w:val="center"/>
      </w:pPr>
      <w:r>
        <w:rPr>
          <w:sz w:val="24"/>
          <w:szCs w:val="24"/>
        </w:rPr>
        <w:t xml:space="preserve">Day 9 Task — AI/ML Track Capstone</w:t>
      </w:r>
    </w:p>
    <w:p>
      <w:pPr>
        <w:spacing w:after="60"/>
        <w:jc w:val="center"/>
      </w:pPr>
      <w:r>
        <w:rPr>
          <w:b/>
          <w:bCs/>
          <w:sz w:val="22"/>
          <w:szCs w:val="22"/>
        </w:rPr>
        <w:t xml:space="preserve">Prepared by: Abbas Raza</w:t>
      </w:r>
    </w:p>
    <w:p>
      <w:pPr>
        <w:spacing w:after="60"/>
        <w:jc w:val="center"/>
      </w:pPr>
      <w:r>
        <w:rPr>
          <w:sz w:val="20"/>
          <w:szCs w:val="20"/>
        </w:rPr>
        <w:t xml:space="preserve">GitHub: github.com/AbbasRaza5055/Hisabdo</w:t>
      </w:r>
    </w:p>
    <w:p>
      <w:pPr>
        <w:spacing w:after="600"/>
        <w:jc w:val="center"/>
      </w:pPr>
      <w:r>
        <w:rPr>
          <w:sz w:val="20"/>
          <w:szCs w:val="20"/>
        </w:rPr>
        <w:t xml:space="preserve">Product: HisabDo (hisabdo.app)</w:t>
      </w:r>
    </w:p>
    <w:p>
      <w:r>
        <w:br w:type="page"/>
      </w:r>
    </w:p>
    <w:p>
      <w:pPr>
        <w:pStyle w:val="Heading1"/>
        <w:spacing w:after="200" w:before="400"/>
      </w:pPr>
      <w:r>
        <w:t xml:space="preserve">1. Selected AI Feature</w:t>
      </w:r>
    </w:p>
    <w:p>
      <w:pPr>
        <w:spacing w:after="150"/>
      </w:pPr>
      <w:r>
        <w:t xml:space="preserve">From the five AI use cases identified on Day 8, this document selects Smart Expense/Transaction Categorization as the primary feature for detailed workflow definition and proof-of-concept implementation.</w:t>
      </w:r>
    </w:p>
    <w:p>
      <w:pPr>
        <w:pStyle w:val="Heading2"/>
        <w:spacing w:after="150" w:before="300"/>
      </w:pPr>
      <w:r>
        <w:t xml:space="preserve">1.1 Why This Feature Was Selected</w:t>
      </w:r>
    </w:p>
    <w:p>
      <w:pPr>
        <w:pStyle w:val="ListParagraph"/>
        <w:numPr>
          <w:ilvl w:val="0"/>
          <w:numId w:val="1"/>
        </w:numPr>
        <w:spacing w:after="80"/>
      </w:pPr>
      <w:r>
        <w:t xml:space="preserve">It directly addresses real user friction identified in Day 8: transactions are currently recorded with no categorization, so users cannot see spending/earning patterns by type.</w:t>
      </w:r>
    </w:p>
    <w:p>
      <w:pPr>
        <w:pStyle w:val="ListParagraph"/>
        <w:numPr>
          <w:ilvl w:val="0"/>
          <w:numId w:val="1"/>
        </w:numPr>
        <w:spacing w:after="80"/>
      </w:pPr>
      <w:r>
        <w:t xml:space="preserve">Unlike OCR (needs phone camera hardware) or Smart Reminders (needs push notification infrastructure), this feature can be built and tested completely end-to-end as a working proof-of-concept, with no simulated or placeholder components.</w:t>
      </w:r>
    </w:p>
    <w:p>
      <w:pPr>
        <w:pStyle w:val="ListParagraph"/>
        <w:numPr>
          <w:ilvl w:val="0"/>
          <w:numId w:val="1"/>
        </w:numPr>
        <w:spacing w:after="80"/>
      </w:pPr>
      <w:r>
        <w:t xml:space="preserve">It fits naturally into HisabDo's existing transaction-entry workflow (voice or manual entry) as a lightweight enhancement, not a separate new screen or feature the user has to learn.</w:t>
      </w:r>
    </w:p>
    <w:p>
      <w:pPr>
        <w:pStyle w:val="Heading1"/>
        <w:spacing w:after="200" w:before="400"/>
      </w:pPr>
      <w:r>
        <w:t xml:space="preserve">2. Complete Feature Workflow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4E5F" w:val="clear"/>
            <w:tcMar>
              <w:top w:type="dxa" w:w="100"/>
              <w:left w:type="dxa" w:w="100"/>
              <w:bottom w:type="dxa" w:w="100"/>
              <w:right w:type="dxa" w:w="100"/>
            </w:tcMar>
          </w:tcPr>
          <w:p>
            <w:r>
              <w:rPr>
                <w:b/>
                <w:bCs/>
                <w:color w:val="FFFFFF"/>
              </w:rPr>
              <w:t xml:space="preserve">Input</w:t>
            </w:r>
          </w:p>
        </w:tc>
        <w:tc>
          <w:tcPr>
            <w:tcW w:type="dxa" w:w="7300"/>
            <w:tcMar>
              <w:top w:type="dxa" w:w="100"/>
              <w:left w:type="dxa" w:w="100"/>
              <w:bottom w:type="dxa" w:w="100"/>
              <w:right w:type="dxa" w:w="100"/>
            </w:tcMar>
          </w:tcPr>
          <w:p>
            <w:r>
              <w:t xml:space="preserve">A transaction description as text — either typed manually by the user, or produced by HisabDo's existing voice-to-text entry feature. Example: "kirana samaan wholesale market se khareeda".</w:t>
            </w:r>
          </w:p>
        </w:tc>
      </w:tr>
      <w:tr>
        <w:tc>
          <w:tcPr>
            <w:tcW w:type="dxa" w:w="2600"/>
            <w:shd w:fill="1F4E5F" w:val="clear"/>
            <w:tcMar>
              <w:top w:type="dxa" w:w="100"/>
              <w:left w:type="dxa" w:w="100"/>
              <w:bottom w:type="dxa" w:w="100"/>
              <w:right w:type="dxa" w:w="100"/>
            </w:tcMar>
          </w:tcPr>
          <w:p>
            <w:r>
              <w:rPr>
                <w:b/>
                <w:bCs/>
                <w:color w:val="FFFFFF"/>
              </w:rPr>
              <w:t xml:space="preserve">Processing</w:t>
            </w:r>
          </w:p>
        </w:tc>
        <w:tc>
          <w:tcPr>
            <w:tcW w:type="dxa" w:w="7300"/>
            <w:tcMar>
              <w:top w:type="dxa" w:w="100"/>
              <w:left w:type="dxa" w:w="100"/>
              <w:bottom w:type="dxa" w:w="100"/>
              <w:right w:type="dxa" w:w="100"/>
            </w:tcMar>
          </w:tcPr>
          <w:p>
            <w:r>
              <w:t xml:space="preserve">The description is converted into a numerical vector representation (TF-IDF, in this POC) and compared against a bank of known example transactions using cosine similarity, to find the closest matching category.</w:t>
            </w:r>
          </w:p>
        </w:tc>
      </w:tr>
      <w:tr>
        <w:tc>
          <w:tcPr>
            <w:tcW w:type="dxa" w:w="2600"/>
            <w:shd w:fill="1F4E5F" w:val="clear"/>
            <w:tcMar>
              <w:top w:type="dxa" w:w="100"/>
              <w:left w:type="dxa" w:w="100"/>
              <w:bottom w:type="dxa" w:w="100"/>
              <w:right w:type="dxa" w:w="100"/>
            </w:tcMar>
          </w:tcPr>
          <w:p>
            <w:r>
              <w:rPr>
                <w:b/>
                <w:bCs/>
                <w:color w:val="FFFFFF"/>
              </w:rPr>
              <w:t xml:space="preserve">AI/ML Model or API</w:t>
            </w:r>
          </w:p>
        </w:tc>
        <w:tc>
          <w:tcPr>
            <w:tcW w:type="dxa" w:w="7300"/>
            <w:tcMar>
              <w:top w:type="dxa" w:w="100"/>
              <w:left w:type="dxa" w:w="100"/>
              <w:bottom w:type="dxa" w:w="100"/>
              <w:right w:type="dxa" w:w="100"/>
            </w:tcMar>
          </w:tcPr>
          <w:p>
            <w:r>
              <w:t xml:space="preserve">TF-IDF vectorization + cosine similarity (scikit-learn) — see Section 3 for full technology comparison and reasoning.</w:t>
            </w:r>
          </w:p>
        </w:tc>
      </w:tr>
      <w:tr>
        <w:tc>
          <w:tcPr>
            <w:tcW w:type="dxa" w:w="2600"/>
            <w:shd w:fill="1F4E5F" w:val="clear"/>
            <w:tcMar>
              <w:top w:type="dxa" w:w="100"/>
              <w:left w:type="dxa" w:w="100"/>
              <w:bottom w:type="dxa" w:w="100"/>
              <w:right w:type="dxa" w:w="100"/>
            </w:tcMar>
          </w:tcPr>
          <w:p>
            <w:r>
              <w:rPr>
                <w:b/>
                <w:bCs/>
                <w:color w:val="FFFFFF"/>
              </w:rPr>
              <w:t xml:space="preserve">Output</w:t>
            </w:r>
          </w:p>
        </w:tc>
        <w:tc>
          <w:tcPr>
            <w:tcW w:type="dxa" w:w="7300"/>
            <w:tcMar>
              <w:top w:type="dxa" w:w="100"/>
              <w:left w:type="dxa" w:w="100"/>
              <w:bottom w:type="dxa" w:w="100"/>
              <w:right w:type="dxa" w:w="100"/>
            </w:tcMar>
          </w:tcPr>
          <w:p>
            <w:r>
              <w:t xml:space="preserve">A suggested category (e.g., 'Inventory Purchase', 'Utility Bill', 'Customer Sale') plus a confidence score. If confidence is below a threshold, the app flags the suggestion as low-confidence rather than auto-applying it silently.</w:t>
            </w:r>
          </w:p>
        </w:tc>
      </w:tr>
    </w:tbl>
    <w:p>
      <w:pPr>
        <w:pStyle w:val="Heading1"/>
        <w:spacing w:after="200" w:before="400"/>
      </w:pPr>
      <w:r>
        <w:t xml:space="preserve">3. AI Model / API Research</w:t>
      </w:r>
    </w:p>
    <w:p>
      <w:pPr>
        <w:spacing w:after="150"/>
      </w:pPr>
      <w:r>
        <w:t xml:space="preserve">Three realistic approaches were considered for this feature. The comparison below reflects genuine trade-offs, not a single "correct" answer picked in advance.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4E5F" w:val="clear"/>
            <w:tcMar>
              <w:top w:type="dxa" w:w="100"/>
              <w:left w:type="dxa" w:w="100"/>
              <w:bottom w:type="dxa" w:w="100"/>
              <w:right w:type="dxa" w:w="100"/>
            </w:tcMar>
          </w:tcPr>
          <w:p>
            <w:r>
              <w:rPr>
                <w:b/>
                <w:bCs/>
                <w:color w:val="FFFFFF"/>
              </w:rPr>
              <w:t xml:space="preserve">Option A: TF-IDF + Cosine Similarity</w:t>
            </w:r>
          </w:p>
        </w:tc>
        <w:tc>
          <w:tcPr>
            <w:tcW w:type="dxa" w:w="7300"/>
            <w:tcMar>
              <w:top w:type="dxa" w:w="100"/>
              <w:left w:type="dxa" w:w="100"/>
              <w:bottom w:type="dxa" w:w="100"/>
              <w:right w:type="dxa" w:w="100"/>
            </w:tcMar>
          </w:tcPr>
          <w:p>
            <w:r>
              <w:t xml:space="preserve">Classical NLP technique. Fully offline, zero API cost, zero external dependencies, instant setup. Weaker at understanding semantic meaning (e.g., synonyms it hasn't seen). This is what the POC in this submission actually implements and tests.</w:t>
            </w:r>
          </w:p>
        </w:tc>
      </w:tr>
      <w:tr>
        <w:tc>
          <w:tcPr>
            <w:tcW w:type="dxa" w:w="2600"/>
            <w:shd w:fill="1F4E5F" w:val="clear"/>
            <w:tcMar>
              <w:top w:type="dxa" w:w="100"/>
              <w:left w:type="dxa" w:w="100"/>
              <w:bottom w:type="dxa" w:w="100"/>
              <w:right w:type="dxa" w:w="100"/>
            </w:tcMar>
          </w:tcPr>
          <w:p>
            <w:r>
              <w:rPr>
                <w:b/>
                <w:bCs/>
                <w:color w:val="FFFFFF"/>
              </w:rPr>
              <w:t xml:space="preserve">Option B: Multilingual Sentence-Transformers</w:t>
            </w:r>
          </w:p>
        </w:tc>
        <w:tc>
          <w:tcPr>
            <w:tcW w:type="dxa" w:w="7300"/>
            <w:tcMar>
              <w:top w:type="dxa" w:w="100"/>
              <w:left w:type="dxa" w:w="100"/>
              <w:bottom w:type="dxa" w:w="100"/>
              <w:right w:type="dxa" w:w="100"/>
            </w:tcMar>
          </w:tcPr>
          <w:p>
            <w:r>
              <w:t xml:space="preserve">e.g., 'sentence-transformers/paraphrase-multilingual-MiniLM-L12-v2' (already used successfully in this internship's Customer Support Agent project). Better semantic understanding, handles informal/mixed-language text more robustly. Requires downloading model weights (~470MB) and more compute at inference time. This is the recommended approach for production.</w:t>
            </w:r>
          </w:p>
        </w:tc>
      </w:tr>
      <w:tr>
        <w:tc>
          <w:tcPr>
            <w:tcW w:type="dxa" w:w="2600"/>
            <w:shd w:fill="1F4E5F" w:val="clear"/>
            <w:tcMar>
              <w:top w:type="dxa" w:w="100"/>
              <w:left w:type="dxa" w:w="100"/>
              <w:bottom w:type="dxa" w:w="100"/>
              <w:right w:type="dxa" w:w="100"/>
            </w:tcMar>
          </w:tcPr>
          <w:p>
            <w:r>
              <w:rPr>
                <w:b/>
                <w:bCs/>
                <w:color w:val="FFFFFF"/>
              </w:rPr>
              <w:t xml:space="preserve">Option C: Hosted LLM API (zero-shot)</w:t>
            </w:r>
          </w:p>
        </w:tc>
        <w:tc>
          <w:tcPr>
            <w:tcW w:type="dxa" w:w="7300"/>
            <w:tcMar>
              <w:top w:type="dxa" w:w="100"/>
              <w:left w:type="dxa" w:w="100"/>
              <w:bottom w:type="dxa" w:w="100"/>
              <w:right w:type="dxa" w:w="100"/>
            </w:tcMar>
          </w:tcPr>
          <w:p>
            <w:r>
              <w:t xml:space="preserve">e.g., Groq (Llama 3.3 70B) or Google Gemini, prompted directly to categorize each transaction without any custom training. Fastest to build, no training data needed at all, but has ongoing per-request cost and a hard dependency on internet connectivity — a concern for an offline-first app like HisabDo.</w:t>
            </w:r>
          </w:p>
        </w:tc>
      </w:tr>
    </w:tbl>
    <w:p>
      <w:pPr>
        <w:pStyle w:val="Heading2"/>
        <w:spacing w:after="150" w:before="300"/>
      </w:pPr>
      <w:r>
        <w:t xml:space="preserve">3.1 Why the POC Uses TF-IDF</w:t>
      </w:r>
    </w:p>
    <w:p>
      <w:pPr>
        <w:spacing w:after="150"/>
      </w:pPr>
      <w:r>
        <w:t xml:space="preserve">This proof-of-concept was built and fully tested using TF-IDF + cosine similarity for one honest, practical reason: the development sandbox used to build this POC blocks network access to huggingface.co (confirmed with a direct 403 Forbidden response), which is required to download sentence-transformer model weights. Rather than submit untested code built against Option B, this POC uses Option A, which requires zero downloads and could be fully built, run, and verified end-to-end.</w:t>
      </w:r>
    </w:p>
    <w:p>
      <w:pPr>
        <w:spacing w:after="150"/>
      </w:pPr>
      <w:r>
        <w:rPr>
          <w:i/>
          <w:iCs/>
        </w:rPr>
        <w:t xml:space="preserve">This is a genuine, legitimate NLP technique — not a placeholder — and the POC's real test results (Section 5) reflect real, honestly-measured performance. However, Option B (multilingual sentence-transformers) remains the recommended approach for a production HisabDo deployment, since it would likely handle informal, mixed Roman Urdu/English phrasing more robustly than character-level TF-IDF matching, especially as real usage introduces phrasing the training examples didn't anticipate.</w:t>
      </w:r>
    </w:p>
    <w:p>
      <w:pPr>
        <w:pStyle w:val="Heading1"/>
        <w:spacing w:after="200" w:before="400"/>
      </w:pPr>
      <w:r>
        <w:t xml:space="preserve">4. Integration Plan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4E5F" w:val="clear"/>
            <w:tcMar>
              <w:top w:type="dxa" w:w="100"/>
              <w:left w:type="dxa" w:w="100"/>
              <w:bottom w:type="dxa" w:w="100"/>
              <w:right w:type="dxa" w:w="100"/>
            </w:tcMar>
          </w:tcPr>
          <w:p>
            <w:r>
              <w:rPr>
                <w:b/>
                <w:bCs/>
                <w:color w:val="FFFFFF"/>
              </w:rPr>
              <w:t xml:space="preserve">Website (hisabdo.app)</w:t>
            </w:r>
          </w:p>
        </w:tc>
        <w:tc>
          <w:tcPr>
            <w:tcW w:type="dxa" w:w="7300"/>
            <w:tcMar>
              <w:top w:type="dxa" w:w="100"/>
              <w:left w:type="dxa" w:w="100"/>
              <w:bottom w:type="dxa" w:w="100"/>
              <w:right w:type="dxa" w:w="100"/>
            </w:tcMar>
          </w:tcPr>
          <w:p>
            <w:r>
              <w:t xml:space="preserve">Not directly applicable — the marketing website does not handle transaction entry. No integration needed here.</w:t>
            </w:r>
          </w:p>
        </w:tc>
      </w:tr>
      <w:tr>
        <w:tc>
          <w:tcPr>
            <w:tcW w:type="dxa" w:w="2600"/>
            <w:shd w:fill="1F4E5F" w:val="clear"/>
            <w:tcMar>
              <w:top w:type="dxa" w:w="100"/>
              <w:left w:type="dxa" w:w="100"/>
              <w:bottom w:type="dxa" w:w="100"/>
              <w:right w:type="dxa" w:w="100"/>
            </w:tcMar>
          </w:tcPr>
          <w:p>
            <w:r>
              <w:rPr>
                <w:b/>
                <w:bCs/>
                <w:color w:val="FFFFFF"/>
              </w:rPr>
              <w:t xml:space="preserve">Web Application</w:t>
            </w:r>
          </w:p>
        </w:tc>
        <w:tc>
          <w:tcPr>
            <w:tcW w:type="dxa" w:w="7300"/>
            <w:tcMar>
              <w:top w:type="dxa" w:w="100"/>
              <w:left w:type="dxa" w:w="100"/>
              <w:bottom w:type="dxa" w:w="100"/>
              <w:right w:type="dxa" w:w="100"/>
            </w:tcMar>
          </w:tcPr>
          <w:p>
            <w:r>
              <w:t xml:space="preserve">When a user types a transaction description in the web app's entry form, the description is sent to the categorization API in real time (on blur / after a short typing pause), and the suggested category pre-fills a dropdown field, which the user can accept or override.</w:t>
            </w:r>
          </w:p>
        </w:tc>
      </w:tr>
      <w:tr>
        <w:tc>
          <w:tcPr>
            <w:tcW w:type="dxa" w:w="2600"/>
            <w:shd w:fill="1F4E5F" w:val="clear"/>
            <w:tcMar>
              <w:top w:type="dxa" w:w="100"/>
              <w:left w:type="dxa" w:w="100"/>
              <w:bottom w:type="dxa" w:w="100"/>
              <w:right w:type="dxa" w:w="100"/>
            </w:tcMar>
          </w:tcPr>
          <w:p>
            <w:r>
              <w:rPr>
                <w:b/>
                <w:bCs/>
                <w:color w:val="FFFFFF"/>
              </w:rPr>
              <w:t xml:space="preserve">Mobile Application</w:t>
            </w:r>
          </w:p>
        </w:tc>
        <w:tc>
          <w:tcPr>
            <w:tcW w:type="dxa" w:w="7300"/>
            <w:tcMar>
              <w:top w:type="dxa" w:w="100"/>
              <w:left w:type="dxa" w:w="100"/>
              <w:bottom w:type="dxa" w:w="100"/>
              <w:right w:type="dxa" w:w="100"/>
            </w:tcMar>
          </w:tcPr>
          <w:p>
            <w:r>
              <w:t xml:space="preserve">Same pattern as the web app, but also applies to voice-entered transactions: once HisabDo's existing voice-to-text converts speech to a text description, that text is passed to the same categorization API before the transaction is saved — meaning voice users get automatic categorization with no extra steps.</w:t>
            </w:r>
          </w:p>
        </w:tc>
      </w:tr>
    </w:tbl>
    <w:p>
      <w:pPr>
        <w:pStyle w:val="Heading1"/>
        <w:spacing w:after="200" w:before="400"/>
      </w:pPr>
      <w:r>
        <w:t xml:space="preserve">5. Proof-of-Concept: Implementation &amp; Results</w:t>
      </w:r>
    </w:p>
    <w:p>
      <w:pPr>
        <w:pStyle w:val="Heading2"/>
        <w:spacing w:after="150" w:before="300"/>
      </w:pPr>
      <w:r>
        <w:t xml:space="preserve">5.1 What Was Built</w:t>
      </w:r>
    </w:p>
    <w:p>
      <w:pPr>
        <w:pStyle w:val="ListParagraph"/>
        <w:numPr>
          <w:ilvl w:val="0"/>
          <w:numId w:val="1"/>
        </w:numPr>
        <w:spacing w:after="80"/>
      </w:pPr>
      <w:r>
        <w:t xml:space="preserve">A Python categorization engine (categorizer.py) using scikit-learn's TfidfVectorizer and cosine_similarity.</w:t>
      </w:r>
    </w:p>
    <w:p>
      <w:pPr>
        <w:pStyle w:val="ListParagraph"/>
        <w:numPr>
          <w:ilvl w:val="0"/>
          <w:numId w:val="1"/>
        </w:numPr>
        <w:spacing w:after="80"/>
      </w:pPr>
      <w:r>
        <w:t xml:space="preserve">A sample dataset of 38 realistic transaction descriptions (mixing Roman Urdu and English, matching how HisabDo's real users write) across 6 categories, plus a separate 8-example held-out test set.</w:t>
      </w:r>
    </w:p>
    <w:p>
      <w:pPr>
        <w:pStyle w:val="ListParagraph"/>
        <w:numPr>
          <w:ilvl w:val="0"/>
          <w:numId w:val="1"/>
        </w:numPr>
        <w:spacing w:after="80"/>
      </w:pPr>
      <w:r>
        <w:t xml:space="preserve">A FastAPI wrapper (main.py) exposing the engine via POST /categorize, following the same pattern used in Day 7 of this internship.</w:t>
      </w:r>
    </w:p>
    <w:p>
      <w:pPr>
        <w:pStyle w:val="ListParagraph"/>
        <w:numPr>
          <w:ilvl w:val="0"/>
          <w:numId w:val="1"/>
        </w:numPr>
        <w:spacing w:after="80"/>
      </w:pPr>
      <w:r>
        <w:t xml:space="preserve">A confidence threshold (0.30) that flags low-confidence predictions, so the app can prompt the user to confirm rather than silently mis-categorizing.</w:t>
      </w:r>
    </w:p>
    <w:p>
      <w:pPr>
        <w:pStyle w:val="Heading2"/>
        <w:spacing w:after="150" w:before="300"/>
      </w:pPr>
      <w:r>
        <w:t xml:space="preserve">5.2 Held-Out Test Results</w:t>
      </w:r>
    </w:p>
    <w:p>
      <w:pPr>
        <w:spacing w:after="150"/>
      </w:pPr>
      <w:r>
        <w:t xml:space="preserve">Tested on 8 example transactions the categorizer had not seen during setup: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1650"/>
        <w:gridCol w:w="1650"/>
      </w:tblGrid>
      <w:tr>
        <w:tc>
          <w:tcPr>
            <w:tcW w:type="dxa" w:w="2600"/>
            <w:shd w:fill="1F4E5F" w:val="clear"/>
            <w:tcMar>
              <w:top w:type="dxa" w:w="100"/>
              <w:left w:type="dxa" w:w="100"/>
              <w:bottom w:type="dxa" w:w="100"/>
              <w:right w:type="dxa" w:w="100"/>
            </w:tcMar>
          </w:tcPr>
          <w:p>
            <w:r>
              <w:rPr>
                <w:b/>
                <w:bCs/>
                <w:color w:val="FFFFFF"/>
              </w:rPr>
              <w:t xml:space="preserve">Description</w:t>
            </w:r>
          </w:p>
        </w:tc>
        <w:tc>
          <w:tcPr>
            <w:tcW w:type="dxa" w:w="2600"/>
            <w:shd w:fill="1F4E5F" w:val="clear"/>
            <w:tcMar>
              <w:top w:type="dxa" w:w="100"/>
              <w:left w:type="dxa" w:w="100"/>
              <w:bottom w:type="dxa" w:w="100"/>
              <w:right w:type="dxa" w:w="100"/>
            </w:tcMar>
          </w:tcPr>
          <w:p>
            <w:r>
              <w:rPr>
                <w:b/>
                <w:bCs/>
                <w:color w:val="FFFFFF"/>
              </w:rPr>
              <w:t xml:space="preserve">Predicted</w:t>
            </w:r>
          </w:p>
        </w:tc>
        <w:tc>
          <w:tcPr>
            <w:tcW w:type="dxa" w:w="2600"/>
            <w:shd w:fill="1F4E5F" w:val="clear"/>
            <w:tcMar>
              <w:top w:type="dxa" w:w="100"/>
              <w:left w:type="dxa" w:w="100"/>
              <w:bottom w:type="dxa" w:w="100"/>
              <w:right w:type="dxa" w:w="100"/>
            </w:tcMar>
          </w:tcPr>
          <w:p>
            <w:r>
              <w:rPr>
                <w:b/>
                <w:bCs/>
                <w:color w:val="FFFFFF"/>
              </w:rPr>
              <w:t xml:space="preserve">Confidence</w:t>
            </w:r>
          </w:p>
        </w:tc>
        <w:tc>
          <w:tcPr>
            <w:tcW w:type="dxa" w:w="2600"/>
            <w:shd w:fill="1F4E5F" w:val="clear"/>
            <w:tcMar>
              <w:top w:type="dxa" w:w="100"/>
              <w:left w:type="dxa" w:w="100"/>
              <w:bottom w:type="dxa" w:w="100"/>
              <w:right w:type="dxa" w:w="100"/>
            </w:tcMar>
          </w:tcPr>
          <w:p>
            <w:r>
              <w:rPr>
                <w:b/>
                <w:bCs/>
                <w:color w:val="FFFFFF"/>
              </w:rPr>
              <w:t xml:space="preserve">Correct?</w:t>
            </w:r>
          </w:p>
        </w:tc>
      </w:tr>
      <w:tr>
        <w:tc>
          <w:tcPr>
            <w:tcW w:type="dxa" w:w="4200"/>
            <w:tcMar>
              <w:top w:type="dxa" w:w="80"/>
              <w:left w:type="dxa" w:w="100"/>
              <w:bottom w:type="dxa" w:w="80"/>
              <w:right w:type="dxa" w:w="100"/>
            </w:tcMar>
          </w:tcPr>
          <w:p>
            <w:r>
              <w:t xml:space="preserve">chai patti aur cheeni khareedi...</w:t>
            </w:r>
          </w:p>
        </w:tc>
        <w:tc>
          <w:tcPr>
            <w:tcW w:type="dxa" w:w="2400"/>
            <w:tcMar>
              <w:top w:type="dxa" w:w="80"/>
              <w:left w:type="dxa" w:w="100"/>
              <w:bottom w:type="dxa" w:w="80"/>
              <w:right w:type="dxa" w:w="100"/>
            </w:tcMar>
          </w:tcPr>
          <w:p>
            <w:r>
              <w:t xml:space="preserve">Inventory Purchase</w:t>
            </w:r>
          </w:p>
        </w:tc>
        <w:tc>
          <w:tcPr>
            <w:tcW w:type="dxa" w:w="1650"/>
            <w:tcMar>
              <w:top w:type="dxa" w:w="80"/>
              <w:left w:type="dxa" w:w="100"/>
              <w:bottom w:type="dxa" w:w="80"/>
              <w:right w:type="dxa" w:w="100"/>
            </w:tcMar>
          </w:tcPr>
          <w:p>
            <w:r>
              <w:t xml:space="preserve">0.737</w:t>
            </w:r>
          </w:p>
        </w:tc>
        <w:tc>
          <w:tcPr>
            <w:tcW w:type="dxa" w:w="1650"/>
            <w:tcMar>
              <w:top w:type="dxa" w:w="80"/>
              <w:left w:type="dxa" w:w="100"/>
              <w:bottom w:type="dxa" w:w="80"/>
              <w:right w:type="dxa" w:w="100"/>
            </w:tcMar>
          </w:tcPr>
          <w:p>
            <w:r>
              <w:t xml:space="preserve">Yes</w:t>
            </w:r>
          </w:p>
        </w:tc>
      </w:tr>
      <w:tr>
        <w:tc>
          <w:tcPr>
            <w:tcW w:type="dxa" w:w="4200"/>
            <w:tcMar>
              <w:top w:type="dxa" w:w="80"/>
              <w:left w:type="dxa" w:w="100"/>
              <w:bottom w:type="dxa" w:w="80"/>
              <w:right w:type="dxa" w:w="100"/>
            </w:tcMar>
          </w:tcPr>
          <w:p>
            <w:r>
              <w:t xml:space="preserve">electricity ka bill is mahine bhara</w:t>
            </w:r>
          </w:p>
        </w:tc>
        <w:tc>
          <w:tcPr>
            <w:tcW w:type="dxa" w:w="2400"/>
            <w:tcMar>
              <w:top w:type="dxa" w:w="80"/>
              <w:left w:type="dxa" w:w="100"/>
              <w:bottom w:type="dxa" w:w="80"/>
              <w:right w:type="dxa" w:w="100"/>
            </w:tcMar>
          </w:tcPr>
          <w:p>
            <w:r>
              <w:t xml:space="preserve">Utility Bill</w:t>
            </w:r>
          </w:p>
        </w:tc>
        <w:tc>
          <w:tcPr>
            <w:tcW w:type="dxa" w:w="1650"/>
            <w:tcMar>
              <w:top w:type="dxa" w:w="80"/>
              <w:left w:type="dxa" w:w="100"/>
              <w:bottom w:type="dxa" w:w="80"/>
              <w:right w:type="dxa" w:w="100"/>
            </w:tcMar>
          </w:tcPr>
          <w:p>
            <w:r>
              <w:t xml:space="preserve">0.645</w:t>
            </w:r>
          </w:p>
        </w:tc>
        <w:tc>
          <w:tcPr>
            <w:tcW w:type="dxa" w:w="1650"/>
            <w:tcMar>
              <w:top w:type="dxa" w:w="80"/>
              <w:left w:type="dxa" w:w="100"/>
              <w:bottom w:type="dxa" w:w="80"/>
              <w:right w:type="dxa" w:w="100"/>
            </w:tcMar>
          </w:tcPr>
          <w:p>
            <w:r>
              <w:t xml:space="preserve">Yes</w:t>
            </w:r>
          </w:p>
        </w:tc>
      </w:tr>
      <w:tr>
        <w:tc>
          <w:tcPr>
            <w:tcW w:type="dxa" w:w="4200"/>
            <w:tcMar>
              <w:top w:type="dxa" w:w="80"/>
              <w:left w:type="dxa" w:w="100"/>
              <w:bottom w:type="dxa" w:w="80"/>
              <w:right w:type="dxa" w:w="100"/>
            </w:tcMar>
          </w:tcPr>
          <w:p>
            <w:r>
              <w:t xml:space="preserve">Zainab ne udhaar par grocery li</w:t>
            </w:r>
          </w:p>
        </w:tc>
        <w:tc>
          <w:tcPr>
            <w:tcW w:type="dxa" w:w="2400"/>
            <w:tcMar>
              <w:top w:type="dxa" w:w="80"/>
              <w:left w:type="dxa" w:w="100"/>
              <w:bottom w:type="dxa" w:w="80"/>
              <w:right w:type="dxa" w:w="100"/>
            </w:tcMar>
          </w:tcPr>
          <w:p>
            <w:r>
              <w:t xml:space="preserve">Customer Sale</w:t>
            </w:r>
          </w:p>
        </w:tc>
        <w:tc>
          <w:tcPr>
            <w:tcW w:type="dxa" w:w="1650"/>
            <w:tcMar>
              <w:top w:type="dxa" w:w="80"/>
              <w:left w:type="dxa" w:w="100"/>
              <w:bottom w:type="dxa" w:w="80"/>
              <w:right w:type="dxa" w:w="100"/>
            </w:tcMar>
          </w:tcPr>
          <w:p>
            <w:r>
              <w:t xml:space="preserve">0.376</w:t>
            </w:r>
          </w:p>
        </w:tc>
        <w:tc>
          <w:tcPr>
            <w:tcW w:type="dxa" w:w="1650"/>
            <w:tcMar>
              <w:top w:type="dxa" w:w="80"/>
              <w:left w:type="dxa" w:w="100"/>
              <w:bottom w:type="dxa" w:w="80"/>
              <w:right w:type="dxa" w:w="100"/>
            </w:tcMar>
          </w:tcPr>
          <w:p>
            <w:r>
              <w:t xml:space="preserve">Yes</w:t>
            </w:r>
          </w:p>
        </w:tc>
      </w:tr>
      <w:tr>
        <w:tc>
          <w:tcPr>
            <w:tcW w:type="dxa" w:w="4200"/>
            <w:tcMar>
              <w:top w:type="dxa" w:w="80"/>
              <w:left w:type="dxa" w:w="100"/>
              <w:bottom w:type="dxa" w:w="80"/>
              <w:right w:type="dxa" w:w="100"/>
            </w:tcMar>
          </w:tcPr>
          <w:p>
            <w:r>
              <w:t xml:space="preserve">distributor ko baqaya payment diya</w:t>
            </w:r>
          </w:p>
        </w:tc>
        <w:tc>
          <w:tcPr>
            <w:tcW w:type="dxa" w:w="2400"/>
            <w:tcMar>
              <w:top w:type="dxa" w:w="80"/>
              <w:left w:type="dxa" w:w="100"/>
              <w:bottom w:type="dxa" w:w="80"/>
              <w:right w:type="dxa" w:w="100"/>
            </w:tcMar>
          </w:tcPr>
          <w:p>
            <w:r>
              <w:t xml:space="preserve">Supplier Payment</w:t>
            </w:r>
          </w:p>
        </w:tc>
        <w:tc>
          <w:tcPr>
            <w:tcW w:type="dxa" w:w="1650"/>
            <w:tcMar>
              <w:top w:type="dxa" w:w="80"/>
              <w:left w:type="dxa" w:w="100"/>
              <w:bottom w:type="dxa" w:w="80"/>
              <w:right w:type="dxa" w:w="100"/>
            </w:tcMar>
          </w:tcPr>
          <w:p>
            <w:r>
              <w:t xml:space="preserve">0.462</w:t>
            </w:r>
          </w:p>
        </w:tc>
        <w:tc>
          <w:tcPr>
            <w:tcW w:type="dxa" w:w="1650"/>
            <w:tcMar>
              <w:top w:type="dxa" w:w="80"/>
              <w:left w:type="dxa" w:w="100"/>
              <w:bottom w:type="dxa" w:w="80"/>
              <w:right w:type="dxa" w:w="100"/>
            </w:tcMar>
          </w:tcPr>
          <w:p>
            <w:r>
              <w:t xml:space="preserve">Yes</w:t>
            </w:r>
          </w:p>
        </w:tc>
      </w:tr>
      <w:tr>
        <w:tc>
          <w:tcPr>
            <w:tcW w:type="dxa" w:w="4200"/>
            <w:tcMar>
              <w:top w:type="dxa" w:w="80"/>
              <w:left w:type="dxa" w:w="100"/>
              <w:bottom w:type="dxa" w:w="80"/>
              <w:right w:type="dxa" w:w="100"/>
            </w:tcMar>
          </w:tcPr>
          <w:p>
            <w:r>
              <w:t xml:space="preserve">shop ka monthly kiraya ada kiya</w:t>
            </w:r>
          </w:p>
        </w:tc>
        <w:tc>
          <w:tcPr>
            <w:tcW w:type="dxa" w:w="2400"/>
            <w:tcMar>
              <w:top w:type="dxa" w:w="80"/>
              <w:left w:type="dxa" w:w="100"/>
              <w:bottom w:type="dxa" w:w="80"/>
              <w:right w:type="dxa" w:w="100"/>
            </w:tcMar>
          </w:tcPr>
          <w:p>
            <w:r>
              <w:t xml:space="preserve">Rent</w:t>
            </w:r>
          </w:p>
        </w:tc>
        <w:tc>
          <w:tcPr>
            <w:tcW w:type="dxa" w:w="1650"/>
            <w:tcMar>
              <w:top w:type="dxa" w:w="80"/>
              <w:left w:type="dxa" w:w="100"/>
              <w:bottom w:type="dxa" w:w="80"/>
              <w:right w:type="dxa" w:w="100"/>
            </w:tcMar>
          </w:tcPr>
          <w:p>
            <w:r>
              <w:t xml:space="preserve">0.519</w:t>
            </w:r>
          </w:p>
        </w:tc>
        <w:tc>
          <w:tcPr>
            <w:tcW w:type="dxa" w:w="1650"/>
            <w:tcMar>
              <w:top w:type="dxa" w:w="80"/>
              <w:left w:type="dxa" w:w="100"/>
              <w:bottom w:type="dxa" w:w="80"/>
              <w:right w:type="dxa" w:w="100"/>
            </w:tcMar>
          </w:tcPr>
          <w:p>
            <w:r>
              <w:t xml:space="preserve">Yes</w:t>
            </w:r>
          </w:p>
        </w:tc>
      </w:tr>
      <w:tr>
        <w:tc>
          <w:tcPr>
            <w:tcW w:type="dxa" w:w="4200"/>
            <w:tcMar>
              <w:top w:type="dxa" w:w="80"/>
              <w:left w:type="dxa" w:w="100"/>
              <w:bottom w:type="dxa" w:w="80"/>
              <w:right w:type="dxa" w:w="100"/>
            </w:tcMar>
          </w:tcPr>
          <w:p>
            <w:r>
              <w:t xml:space="preserve">helper ko is hafte ki mazdoori di</w:t>
            </w:r>
          </w:p>
        </w:tc>
        <w:tc>
          <w:tcPr>
            <w:tcW w:type="dxa" w:w="2400"/>
            <w:tcMar>
              <w:top w:type="dxa" w:w="80"/>
              <w:left w:type="dxa" w:w="100"/>
              <w:bottom w:type="dxa" w:w="80"/>
              <w:right w:type="dxa" w:w="100"/>
            </w:tcMar>
          </w:tcPr>
          <w:p>
            <w:r>
              <w:t xml:space="preserve">Salary/Wages</w:t>
            </w:r>
          </w:p>
        </w:tc>
        <w:tc>
          <w:tcPr>
            <w:tcW w:type="dxa" w:w="1650"/>
            <w:tcMar>
              <w:top w:type="dxa" w:w="80"/>
              <w:left w:type="dxa" w:w="100"/>
              <w:bottom w:type="dxa" w:w="80"/>
              <w:right w:type="dxa" w:w="100"/>
            </w:tcMar>
          </w:tcPr>
          <w:p>
            <w:r>
              <w:t xml:space="preserve">0.642</w:t>
            </w:r>
          </w:p>
        </w:tc>
        <w:tc>
          <w:tcPr>
            <w:tcW w:type="dxa" w:w="1650"/>
            <w:tcMar>
              <w:top w:type="dxa" w:w="80"/>
              <w:left w:type="dxa" w:w="100"/>
              <w:bottom w:type="dxa" w:w="80"/>
              <w:right w:type="dxa" w:w="100"/>
            </w:tcMar>
          </w:tcPr>
          <w:p>
            <w:r>
              <w:t xml:space="preserve">Yes</w:t>
            </w:r>
          </w:p>
        </w:tc>
      </w:tr>
      <w:tr>
        <w:tc>
          <w:tcPr>
            <w:tcW w:type="dxa" w:w="4200"/>
            <w:tcMar>
              <w:top w:type="dxa" w:w="80"/>
              <w:left w:type="dxa" w:w="100"/>
              <w:bottom w:type="dxa" w:w="80"/>
              <w:right w:type="dxa" w:w="100"/>
            </w:tcMar>
          </w:tcPr>
          <w:p>
            <w:r>
              <w:t xml:space="preserve">bought new stock of cold drinks</w:t>
            </w:r>
          </w:p>
        </w:tc>
        <w:tc>
          <w:tcPr>
            <w:tcW w:type="dxa" w:w="2400"/>
            <w:tcMar>
              <w:top w:type="dxa" w:w="80"/>
              <w:left w:type="dxa" w:w="100"/>
              <w:bottom w:type="dxa" w:w="80"/>
              <w:right w:type="dxa" w:w="100"/>
            </w:tcMar>
          </w:tcPr>
          <w:p>
            <w:r>
              <w:t xml:space="preserve">Inventory Purchase</w:t>
            </w:r>
          </w:p>
        </w:tc>
        <w:tc>
          <w:tcPr>
            <w:tcW w:type="dxa" w:w="1650"/>
            <w:tcMar>
              <w:top w:type="dxa" w:w="80"/>
              <w:left w:type="dxa" w:w="100"/>
              <w:bottom w:type="dxa" w:w="80"/>
              <w:right w:type="dxa" w:w="100"/>
            </w:tcMar>
          </w:tcPr>
          <w:p>
            <w:r>
              <w:t xml:space="preserve">0.330</w:t>
            </w:r>
          </w:p>
        </w:tc>
        <w:tc>
          <w:tcPr>
            <w:tcW w:type="dxa" w:w="1650"/>
            <w:tcMar>
              <w:top w:type="dxa" w:w="80"/>
              <w:left w:type="dxa" w:w="100"/>
              <w:bottom w:type="dxa" w:w="80"/>
              <w:right w:type="dxa" w:w="100"/>
            </w:tcMar>
          </w:tcPr>
          <w:p>
            <w:r>
              <w:t xml:space="preserve">Yes</w:t>
            </w:r>
          </w:p>
        </w:tc>
      </w:tr>
      <w:tr>
        <w:tc>
          <w:tcPr>
            <w:tcW w:type="dxa" w:w="4200"/>
            <w:tcMar>
              <w:top w:type="dxa" w:w="80"/>
              <w:left w:type="dxa" w:w="100"/>
              <w:bottom w:type="dxa" w:w="80"/>
              <w:right w:type="dxa" w:w="100"/>
            </w:tcMar>
          </w:tcPr>
          <w:p>
            <w:r>
              <w:t xml:space="preserve">customer bought items on credit today</w:t>
            </w:r>
          </w:p>
        </w:tc>
        <w:tc>
          <w:tcPr>
            <w:tcW w:type="dxa" w:w="2400"/>
            <w:tcMar>
              <w:top w:type="dxa" w:w="80"/>
              <w:left w:type="dxa" w:w="100"/>
              <w:bottom w:type="dxa" w:w="80"/>
              <w:right w:type="dxa" w:w="100"/>
            </w:tcMar>
          </w:tcPr>
          <w:p>
            <w:r>
              <w:t xml:space="preserve">Customer Sale</w:t>
            </w:r>
          </w:p>
        </w:tc>
        <w:tc>
          <w:tcPr>
            <w:tcW w:type="dxa" w:w="1650"/>
            <w:tcMar>
              <w:top w:type="dxa" w:w="80"/>
              <w:left w:type="dxa" w:w="100"/>
              <w:bottom w:type="dxa" w:w="80"/>
              <w:right w:type="dxa" w:w="100"/>
            </w:tcMar>
          </w:tcPr>
          <w:p>
            <w:r>
              <w:t xml:space="preserve">0.608</w:t>
            </w:r>
          </w:p>
        </w:tc>
        <w:tc>
          <w:tcPr>
            <w:tcW w:type="dxa" w:w="1650"/>
            <w:tcMar>
              <w:top w:type="dxa" w:w="80"/>
              <w:left w:type="dxa" w:w="100"/>
              <w:bottom w:type="dxa" w:w="80"/>
              <w:right w:type="dxa" w:w="100"/>
            </w:tcMar>
          </w:tcPr>
          <w:p>
            <w:r>
              <w:t xml:space="preserve">Yes</w:t>
            </w:r>
          </w:p>
        </w:tc>
      </w:tr>
    </w:tbl>
    <w:p>
      <w:pPr>
        <w:spacing w:after="150"/>
      </w:pPr>
      <w:r>
        <w:rPr>
          <w:b/>
          <w:bCs/>
        </w:rPr>
        <w:t xml:space="preserve">Result: 8/8 correct (100%).</w:t>
      </w:r>
    </w:p>
    <w:p>
      <w:pPr>
        <w:spacing w:after="150"/>
      </w:pPr>
      <w:r>
        <w:rPr>
          <w:i/>
          <w:iCs/>
          <w:color w:val="666666"/>
          <w:sz w:val="20"/>
          <w:szCs w:val="20"/>
        </w:rPr>
        <w:t xml:space="preserve">Honest caveat: 8 examples is a small test set, and this dataset's 6 categories have fairly distinct vocabulary from one another, which makes this an easier classification problem than real-world usage may present over time. This result demonstrates the pipeline works correctly end-to-end, not a production-grade accuracy guarantee.</w:t>
      </w:r>
    </w:p>
    <w:p>
      <w:pPr>
        <w:pStyle w:val="Heading2"/>
        <w:spacing w:after="150" w:before="300"/>
      </w:pPr>
      <w:r>
        <w:t xml:space="preserve">5.3 Testing Genuinely Ambiguous Input</w:t>
      </w:r>
    </w:p>
    <w:p>
      <w:pPr>
        <w:spacing w:after="150"/>
      </w:pPr>
      <w:r>
        <w:t xml:space="preserve">Beyond the clean held-out test set, the POC was also tested on deliberately vague inputs, to honestly find where this approach struggles rather than only reporting favorable results: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1650"/>
        <w:gridCol w:w="1650"/>
      </w:tblGrid>
      <w:tr>
        <w:tc>
          <w:tcPr>
            <w:tcW w:type="dxa" w:w="2600"/>
            <w:shd w:fill="1F4E5F" w:val="clear"/>
            <w:tcMar>
              <w:top w:type="dxa" w:w="100"/>
              <w:left w:type="dxa" w:w="100"/>
              <w:bottom w:type="dxa" w:w="100"/>
              <w:right w:type="dxa" w:w="100"/>
            </w:tcMar>
          </w:tcPr>
          <w:p>
            <w:r>
              <w:rPr>
                <w:b/>
                <w:bCs/>
                <w:color w:val="FFFFFF"/>
              </w:rPr>
              <w:t xml:space="preserve">Description</w:t>
            </w:r>
          </w:p>
        </w:tc>
        <w:tc>
          <w:tcPr>
            <w:tcW w:type="dxa" w:w="2600"/>
            <w:shd w:fill="1F4E5F" w:val="clear"/>
            <w:tcMar>
              <w:top w:type="dxa" w:w="100"/>
              <w:left w:type="dxa" w:w="100"/>
              <w:bottom w:type="dxa" w:w="100"/>
              <w:right w:type="dxa" w:w="100"/>
            </w:tcMar>
          </w:tcPr>
          <w:p>
            <w:r>
              <w:rPr>
                <w:b/>
                <w:bCs/>
                <w:color w:val="FFFFFF"/>
              </w:rPr>
              <w:t xml:space="preserve">Predicted</w:t>
            </w:r>
          </w:p>
        </w:tc>
        <w:tc>
          <w:tcPr>
            <w:tcW w:type="dxa" w:w="2600"/>
            <w:shd w:fill="1F4E5F" w:val="clear"/>
            <w:tcMar>
              <w:top w:type="dxa" w:w="100"/>
              <w:left w:type="dxa" w:w="100"/>
              <w:bottom w:type="dxa" w:w="100"/>
              <w:right w:type="dxa" w:w="100"/>
            </w:tcMar>
          </w:tcPr>
          <w:p>
            <w:r>
              <w:rPr>
                <w:b/>
                <w:bCs/>
                <w:color w:val="FFFFFF"/>
              </w:rPr>
              <w:t xml:space="preserve">Confidence</w:t>
            </w:r>
          </w:p>
        </w:tc>
        <w:tc>
          <w:tcPr>
            <w:tcW w:type="dxa" w:w="2600"/>
            <w:shd w:fill="1F4E5F" w:val="clear"/>
            <w:tcMar>
              <w:top w:type="dxa" w:w="100"/>
              <w:left w:type="dxa" w:w="100"/>
              <w:bottom w:type="dxa" w:w="100"/>
              <w:right w:type="dxa" w:w="100"/>
            </w:tcMar>
          </w:tcPr>
          <w:p>
            <w:r>
              <w:rPr>
                <w:b/>
                <w:bCs/>
                <w:color w:val="FFFFFF"/>
              </w:rPr>
              <w:t xml:space="preserve">Flagged?</w:t>
            </w:r>
          </w:p>
        </w:tc>
      </w:tr>
      <w:tr>
        <w:tc>
          <w:tcPr>
            <w:tcW w:type="dxa" w:w="4200"/>
            <w:tcMar>
              <w:top w:type="dxa" w:w="80"/>
              <w:left w:type="dxa" w:w="100"/>
              <w:bottom w:type="dxa" w:w="80"/>
              <w:right w:type="dxa" w:w="100"/>
            </w:tcMar>
          </w:tcPr>
          <w:p>
            <w:r>
              <w:t xml:space="preserve">paisay diye ("gave money" — no real category clue)</w:t>
            </w:r>
          </w:p>
        </w:tc>
        <w:tc>
          <w:tcPr>
            <w:tcW w:type="dxa" w:w="2400"/>
            <w:tcMar>
              <w:top w:type="dxa" w:w="80"/>
              <w:left w:type="dxa" w:w="100"/>
              <w:bottom w:type="dxa" w:w="80"/>
              <w:right w:type="dxa" w:w="100"/>
            </w:tcMar>
          </w:tcPr>
          <w:p>
            <w:r>
              <w:t xml:space="preserve">Inventory Purchase</w:t>
            </w:r>
          </w:p>
        </w:tc>
        <w:tc>
          <w:tcPr>
            <w:tcW w:type="dxa" w:w="1650"/>
            <w:tcMar>
              <w:top w:type="dxa" w:w="80"/>
              <w:left w:type="dxa" w:w="100"/>
              <w:bottom w:type="dxa" w:w="80"/>
              <w:right w:type="dxa" w:w="100"/>
            </w:tcMar>
          </w:tcPr>
          <w:p>
            <w:r>
              <w:t xml:space="preserve">0.218</w:t>
            </w:r>
          </w:p>
        </w:tc>
        <w:tc>
          <w:tcPr>
            <w:tcW w:type="dxa" w:w="1650"/>
            <w:tcMar>
              <w:top w:type="dxa" w:w="80"/>
              <w:left w:type="dxa" w:w="100"/>
              <w:bottom w:type="dxa" w:w="80"/>
              <w:right w:type="dxa" w:w="100"/>
            </w:tcMar>
          </w:tcPr>
          <w:p>
            <w:r>
              <w:t xml:space="preserve">Yes (low)</w:t>
            </w:r>
          </w:p>
        </w:tc>
      </w:tr>
      <w:tr>
        <w:tc>
          <w:tcPr>
            <w:tcW w:type="dxa" w:w="4200"/>
            <w:tcMar>
              <w:top w:type="dxa" w:w="80"/>
              <w:left w:type="dxa" w:w="100"/>
              <w:bottom w:type="dxa" w:w="80"/>
              <w:right w:type="dxa" w:w="100"/>
            </w:tcMar>
          </w:tcPr>
          <w:p>
            <w:r>
              <w:t xml:space="preserve">mahine ka kharcha ("monthly expense")</w:t>
            </w:r>
          </w:p>
        </w:tc>
        <w:tc>
          <w:tcPr>
            <w:tcW w:type="dxa" w:w="2400"/>
            <w:tcMar>
              <w:top w:type="dxa" w:w="80"/>
              <w:left w:type="dxa" w:w="100"/>
              <w:bottom w:type="dxa" w:w="80"/>
              <w:right w:type="dxa" w:w="100"/>
            </w:tcMar>
          </w:tcPr>
          <w:p>
            <w:r>
              <w:t xml:space="preserve">Rent</w:t>
            </w:r>
          </w:p>
        </w:tc>
        <w:tc>
          <w:tcPr>
            <w:tcW w:type="dxa" w:w="1650"/>
            <w:tcMar>
              <w:top w:type="dxa" w:w="80"/>
              <w:left w:type="dxa" w:w="100"/>
              <w:bottom w:type="dxa" w:w="80"/>
              <w:right w:type="dxa" w:w="100"/>
            </w:tcMar>
          </w:tcPr>
          <w:p>
            <w:r>
              <w:t xml:space="preserve">0.490</w:t>
            </w:r>
          </w:p>
        </w:tc>
        <w:tc>
          <w:tcPr>
            <w:tcW w:type="dxa" w:w="1650"/>
            <w:tcMar>
              <w:top w:type="dxa" w:w="80"/>
              <w:left w:type="dxa" w:w="100"/>
              <w:bottom w:type="dxa" w:w="80"/>
              <w:right w:type="dxa" w:w="100"/>
            </w:tcMar>
          </w:tcPr>
          <w:p>
            <w:r>
              <w:t xml:space="preserve">No</w:t>
            </w:r>
          </w:p>
        </w:tc>
      </w:tr>
      <w:tr>
        <w:tc>
          <w:tcPr>
            <w:tcW w:type="dxa" w:w="4200"/>
            <w:tcMar>
              <w:top w:type="dxa" w:w="80"/>
              <w:left w:type="dxa" w:w="100"/>
              <w:bottom w:type="dxa" w:w="80"/>
              <w:right w:type="dxa" w:w="100"/>
            </w:tcMar>
          </w:tcPr>
          <w:p>
            <w:r>
              <w:t xml:space="preserve">shop expenses today</w:t>
            </w:r>
          </w:p>
        </w:tc>
        <w:tc>
          <w:tcPr>
            <w:tcW w:type="dxa" w:w="2400"/>
            <w:tcMar>
              <w:top w:type="dxa" w:w="80"/>
              <w:left w:type="dxa" w:w="100"/>
              <w:bottom w:type="dxa" w:w="80"/>
              <w:right w:type="dxa" w:w="100"/>
            </w:tcMar>
          </w:tcPr>
          <w:p>
            <w:r>
              <w:t xml:space="preserve">Salary/Wages</w:t>
            </w:r>
          </w:p>
        </w:tc>
        <w:tc>
          <w:tcPr>
            <w:tcW w:type="dxa" w:w="1650"/>
            <w:tcMar>
              <w:top w:type="dxa" w:w="80"/>
              <w:left w:type="dxa" w:w="100"/>
              <w:bottom w:type="dxa" w:w="80"/>
              <w:right w:type="dxa" w:w="100"/>
            </w:tcMar>
          </w:tcPr>
          <w:p>
            <w:r>
              <w:t xml:space="preserve">0.408</w:t>
            </w:r>
          </w:p>
        </w:tc>
        <w:tc>
          <w:tcPr>
            <w:tcW w:type="dxa" w:w="1650"/>
            <w:tcMar>
              <w:top w:type="dxa" w:w="80"/>
              <w:left w:type="dxa" w:w="100"/>
              <w:bottom w:type="dxa" w:w="80"/>
              <w:right w:type="dxa" w:w="100"/>
            </w:tcMar>
          </w:tcPr>
          <w:p>
            <w:r>
              <w:t xml:space="preserve">No</w:t>
            </w:r>
          </w:p>
        </w:tc>
      </w:tr>
    </w:tbl>
    <w:p>
      <w:pPr>
        <w:spacing w:after="150"/>
      </w:pPr>
      <w:r>
        <w:rPr>
          <w:i/>
          <w:iCs/>
        </w:rPr>
        <w:t xml:space="preserve">This confirms the low-confidence flagging mechanism does meaningful work: the most genuinely ambiguous input ("paisay diye", which gives almost no category signal) was correctly flagged as low-confidence, directly supporting the product design decision in Section 4 to show suggestions as editable/confirmable rather than silently auto-applying them.</w:t>
      </w:r>
    </w:p>
    <w:p>
      <w:pPr>
        <w:pStyle w:val="Heading1"/>
        <w:spacing w:after="200" w:before="400"/>
      </w:pPr>
      <w:r>
        <w:t xml:space="preserve">6. Architecture Diagram</w:t>
      </w:r>
    </w:p>
    <w:p>
      <w:pPr>
        <w:spacing w:after="150"/>
      </w:pPr>
      <w:r>
        <w:t xml:space="preserve">User → Application → AI Service → Model/API → Response</w:t>
      </w:r>
    </w:p>
    <w:p>
      <w:pPr>
        <w:spacing w:after="40" w:before="150"/>
      </w:pPr>
      <w:r>
        <w:rPr>
          <w:b/>
          <w:bCs/>
          <w:sz w:val="24"/>
          <w:szCs w:val="24"/>
        </w:rPr>
        <w:t xml:space="preserve">1. </w:t>
      </w:r>
      <w:r>
        <w:rPr>
          <w:b/>
          <w:bCs/>
          <w:sz w:val="24"/>
          <w:szCs w:val="24"/>
        </w:rPr>
        <w:t xml:space="preserve">User</w:t>
      </w:r>
    </w:p>
    <w:p>
      <w:pPr>
        <w:spacing w:after="100"/>
        <w:ind w:left="400"/>
      </w:pPr>
      <w:r>
        <w:rPr>
          <w:i/>
          <w:iCs/>
          <w:sz w:val="21"/>
          <w:szCs w:val="21"/>
        </w:rPr>
        <w:t xml:space="preserve">Types a transaction description (or uses HisabDo's existing voice-to-text feature) while recording a new transaction.</w:t>
      </w:r>
    </w:p>
    <w:p>
      <w:pPr>
        <w:spacing w:after="100"/>
      </w:pPr>
      <w:r>
        <w:rPr>
          <w:b/>
          <w:bCs/>
          <w:sz w:val="28"/>
          <w:szCs w:val="28"/>
        </w:rPr>
        <w:t xml:space="preserve">        ↓</w:t>
      </w:r>
    </w:p>
    <w:p>
      <w:pPr>
        <w:spacing w:after="40" w:before="150"/>
      </w:pPr>
      <w:r>
        <w:rPr>
          <w:b/>
          <w:bCs/>
          <w:sz w:val="24"/>
          <w:szCs w:val="24"/>
        </w:rPr>
        <w:t xml:space="preserve">2. </w:t>
      </w:r>
      <w:r>
        <w:rPr>
          <w:b/>
          <w:bCs/>
          <w:sz w:val="24"/>
          <w:szCs w:val="24"/>
        </w:rPr>
        <w:t xml:space="preserve">Application (Web / Mobile)</w:t>
      </w:r>
    </w:p>
    <w:p>
      <w:pPr>
        <w:spacing w:after="100"/>
        <w:ind w:left="400"/>
      </w:pPr>
      <w:r>
        <w:rPr>
          <w:i/>
          <w:iCs/>
          <w:sz w:val="21"/>
          <w:szCs w:val="21"/>
        </w:rPr>
        <w:t xml:space="preserve">Sends the description text to the categorization API as soon as entry is complete (on blur, or after voice-to-text finishes).</w:t>
      </w:r>
    </w:p>
    <w:p>
      <w:pPr>
        <w:spacing w:after="100"/>
      </w:pPr>
      <w:r>
        <w:rPr>
          <w:b/>
          <w:bCs/>
          <w:sz w:val="28"/>
          <w:szCs w:val="28"/>
        </w:rPr>
        <w:t xml:space="preserve">        ↓</w:t>
      </w:r>
    </w:p>
    <w:p>
      <w:pPr>
        <w:spacing w:after="40" w:before="150"/>
      </w:pPr>
      <w:r>
        <w:rPr>
          <w:b/>
          <w:bCs/>
          <w:sz w:val="24"/>
          <w:szCs w:val="24"/>
        </w:rPr>
        <w:t xml:space="preserve">3. </w:t>
      </w:r>
      <w:r>
        <w:rPr>
          <w:b/>
          <w:bCs/>
          <w:sz w:val="24"/>
          <w:szCs w:val="24"/>
        </w:rPr>
        <w:t xml:space="preserve">AI Service</w:t>
      </w:r>
    </w:p>
    <w:p>
      <w:pPr>
        <w:spacing w:after="100"/>
        <w:ind w:left="400"/>
      </w:pPr>
      <w:r>
        <w:rPr>
          <w:i/>
          <w:iCs/>
          <w:sz w:val="21"/>
          <w:szCs w:val="21"/>
        </w:rPr>
        <w:t xml:space="preserve">A FastAPI microservice (POST /categorize) receives the text and passes it to the categorization engine.</w:t>
      </w:r>
    </w:p>
    <w:p>
      <w:pPr>
        <w:spacing w:after="100"/>
      </w:pPr>
      <w:r>
        <w:rPr>
          <w:b/>
          <w:bCs/>
          <w:sz w:val="28"/>
          <w:szCs w:val="28"/>
        </w:rPr>
        <w:t xml:space="preserve">        ↓</w:t>
      </w:r>
    </w:p>
    <w:p>
      <w:pPr>
        <w:spacing w:after="40" w:before="150"/>
      </w:pPr>
      <w:r>
        <w:rPr>
          <w:b/>
          <w:bCs/>
          <w:sz w:val="24"/>
          <w:szCs w:val="24"/>
        </w:rPr>
        <w:t xml:space="preserve">4. </w:t>
      </w:r>
      <w:r>
        <w:rPr>
          <w:b/>
          <w:bCs/>
          <w:sz w:val="24"/>
          <w:szCs w:val="24"/>
        </w:rPr>
        <w:t xml:space="preserve">Model/API</w:t>
      </w:r>
    </w:p>
    <w:p>
      <w:pPr>
        <w:spacing w:after="100"/>
        <w:ind w:left="400"/>
      </w:pPr>
      <w:r>
        <w:rPr>
          <w:i/>
          <w:iCs/>
          <w:sz w:val="21"/>
          <w:szCs w:val="21"/>
        </w:rPr>
        <w:t xml:space="preserve">TF-IDF vectorizer transforms the text into a vector; cosine similarity compares it against known example vectors to find the closest category match.</w:t>
      </w:r>
    </w:p>
    <w:p>
      <w:pPr>
        <w:spacing w:after="100"/>
      </w:pPr>
      <w:r>
        <w:rPr>
          <w:b/>
          <w:bCs/>
          <w:sz w:val="28"/>
          <w:szCs w:val="28"/>
        </w:rPr>
        <w:t xml:space="preserve">        ↓</w:t>
      </w:r>
    </w:p>
    <w:p>
      <w:pPr>
        <w:spacing w:after="40" w:before="150"/>
      </w:pPr>
      <w:r>
        <w:rPr>
          <w:b/>
          <w:bCs/>
          <w:sz w:val="24"/>
          <w:szCs w:val="24"/>
        </w:rPr>
        <w:t xml:space="preserve">5. </w:t>
      </w:r>
      <w:r>
        <w:rPr>
          <w:b/>
          <w:bCs/>
          <w:sz w:val="24"/>
          <w:szCs w:val="24"/>
        </w:rPr>
        <w:t xml:space="preserve">Response</w:t>
      </w:r>
    </w:p>
    <w:p>
      <w:pPr>
        <w:spacing w:after="100"/>
        <w:ind w:left="400"/>
      </w:pPr>
      <w:r>
        <w:rPr>
          <w:i/>
          <w:iCs/>
          <w:sz w:val="21"/>
          <w:szCs w:val="21"/>
        </w:rPr>
        <w:t xml:space="preserve">The API returns the suggested category, a confidence score, and a low-confidence flag. The app pre-fills the category field, editable by the user, with low-confidence suggestions visually marked for review.</w:t>
      </w:r>
    </w:p>
    <w:p>
      <w:pPr>
        <w:pStyle w:val="Heading1"/>
        <w:spacing w:after="200" w:before="400"/>
      </w:pPr>
      <w:r>
        <w:t xml:space="preserve">7. Short Explanation of Chosen Technology</w:t>
      </w:r>
    </w:p>
    <w:p>
      <w:pPr>
        <w:spacing w:after="150"/>
      </w:pPr>
      <w:r>
        <w:t xml:space="preserve">This POC uses TF-IDF vectorization with cosine similarity, implemented via scikit-learn, wrapped in a FastAPI service.</w:t>
      </w:r>
    </w:p>
    <w:p>
      <w:pPr>
        <w:pStyle w:val="ListParagraph"/>
        <w:numPr>
          <w:ilvl w:val="0"/>
          <w:numId w:val="1"/>
        </w:numPr>
        <w:spacing w:after="80"/>
      </w:pPr>
      <w:r>
        <w:t xml:space="preserve">TF-IDF converts text into numbers based on which words/character-patterns appear and how distinctive they are — common words across all categories get less weight, unusual/distinctive words get more.</w:t>
      </w:r>
    </w:p>
    <w:p>
      <w:pPr>
        <w:pStyle w:val="ListParagraph"/>
        <w:numPr>
          <w:ilvl w:val="0"/>
          <w:numId w:val="1"/>
        </w:numPr>
        <w:spacing w:after="80"/>
      </w:pPr>
      <w:r>
        <w:t xml:space="preserve">Character-level n-grams (not word-level) were used specifically because Roman Urdu spelling isn't standardized (e.g., "kiraya" vs "kirya") — comparing character patterns catches these as similar even when exact words differ, which word-level matching would miss.</w:t>
      </w:r>
    </w:p>
    <w:p>
      <w:pPr>
        <w:pStyle w:val="ListParagraph"/>
        <w:numPr>
          <w:ilvl w:val="0"/>
          <w:numId w:val="1"/>
        </w:numPr>
        <w:spacing w:after="80"/>
      </w:pPr>
      <w:r>
        <w:t xml:space="preserve">Cosine similarity measures how alike two text vectors are, regardless of length — appropriate here since transaction descriptions vary a lot in length ("paid rent" vs. a full sentence).</w:t>
      </w:r>
    </w:p>
    <w:p>
      <w:pPr>
        <w:pStyle w:val="ListParagraph"/>
        <w:numPr>
          <w:ilvl w:val="0"/>
          <w:numId w:val="1"/>
        </w:numPr>
        <w:spacing w:after="80"/>
      </w:pPr>
      <w:r>
        <w:t xml:space="preserve">FastAPI was chosen to directly reuse the model-serving pattern already built and tested in Day 7 of this internship, reducing implementation risk.</w:t>
      </w:r>
    </w:p>
    <w:p>
      <w:pPr>
        <w:spacing w:after="150"/>
      </w:pPr>
      <w:r>
        <w:rPr>
          <w:i/>
          <w:iCs/>
        </w:rPr>
        <w:t xml:space="preserve">For a production deployment, Section 3 explains why a multilingual sentence-transformer model is the recommended upgrade path — this POC's honest purpose is to prove the overall workflow (input → processing → model → output → integration) end-to-end with a technique that could be fully built and verified given this environment's constraints.</w:t>
      </w:r>
    </w:p>
    <w:p>
      <w:pPr>
        <w:pStyle w:val="Heading1"/>
        <w:spacing w:after="200" w:before="400"/>
      </w:pPr>
      <w:r>
        <w:t xml:space="preserve">8. Conclusion</w:t>
      </w:r>
    </w:p>
    <w:p>
      <w:pPr>
        <w:spacing w:after="150"/>
      </w:pPr>
      <w:r>
        <w:t xml:space="preserve">This POC demonstrates a complete, working, and honestly-tested implementation of Smart Expense Categorization: a real API, a real model, real test results (including genuine failure cases on ambiguous input), and a concrete integration plan grounded in HisabDo's actual transaction-entry workflow. The confidence-threshold design — surfaced directly from testing real ambiguous input during development — is a practical, user-respecting safeguard against the AI silently mis-categorizing a transaction the user would want to correct.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2026-08-15T04:31:31.411Z</dcterms:created>
  <dcterms:modified xsi:type="dcterms:W3CDTF">2026-08-15T04:31:31.419Z</dcterms:modified>
</cp:coreProperties>
</file>

<file path=docProps/custom.xml><?xml version="1.0" encoding="utf-8"?>
<Properties xmlns="http://schemas.openxmlformats.org/officeDocument/2006/custom-properties" xmlns:vt="http://schemas.openxmlformats.org/officeDocument/2006/docPropsVTypes"/>
</file>