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 Area Pages</w:t>
      </w:r>
    </w:p>
    <w:p>
      <w:pPr>
        <w:spacing w:after="40" w:line="340"/>
      </w:pPr>
      <w:r>
        <w:rPr>
          <w:rFonts w:ascii="Poppins" w:cs="Poppins" w:eastAsia="Poppins" w:hAnsi="Poppins"/>
          <w:b/>
          <w:bCs/>
          <w:color w:val="1B3C6E"/>
          <w:sz w:val="50"/>
          <w:szCs w:val="50"/>
        </w:rPr>
        <w:t xml:space="preserve">Program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Six neighbourhood pages — and the standard that keeps them from being six copies of one page.</w:t>
      </w:r>
    </w:p>
    <w:p>
      <w:pPr>
        <w:spacing w:after="60" w:line="288"/>
      </w:pPr>
      <w:r>
        <w:rPr>
          <w:rFonts w:ascii="Arial" w:cs="Arial" w:eastAsia="Arial" w:hAnsi="Arial"/>
          <w:color w:val="6A7686"/>
          <w:sz w:val="20"/>
          <w:szCs w:val="20"/>
        </w:rPr>
        <w:t xml:space="preserve">/areas/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Scope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whole silo — an /areas/ hub plus six neighbourhood pages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Reverses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§4.5, which excluded an Areas silo at launch</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Area Pages Design Guide v1.0 · Area Pages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Takes the site to</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pages English, 19 Spanish</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Reversing a Locked Decision</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Why the silo was excluded</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What makes it defensible now</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Thin-Content Problem</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How area pages fail</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uniqueness standard</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2.3 The matrix trap — forbidden</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Which Areas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3.1 The six to build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3.2 What is genuinely different about each</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3.3 Areas not to build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4. URL Structure &amp; the Hub</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The Shared Page Skeleton</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Structured Data</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7. Internal Linking</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Value Register &amp; Production</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Implementation Checklist</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Reversing a Locked Decision</w:t>
      </w:r>
    </w:p>
    <w:p>
      <w:pPr>
        <w:keepNext/>
        <w:spacing w:after="110" w:before="260" w:line="288"/>
      </w:pPr>
      <w:r>
        <w:rPr>
          <w:rFonts w:ascii="Poppins" w:cs="Poppins" w:eastAsia="Poppins" w:hAnsi="Poppins"/>
          <w:b/>
          <w:bCs/>
          <w:color w:val="1B3C6E"/>
          <w:sz w:val="23"/>
          <w:szCs w:val="23"/>
        </w:rPr>
        <w:t xml:space="preserve">1.1 Why the silo was excluded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Content Strategy excluded an Areas silo and named it as a deliberate divergence from the sister site, which runs five. The reasoning was that neighbourhood pages are the most reliable way for a small site to accumulate thin, near-duplicate content, and that geography could be carried adequately by schema areaServed, a homepage block and in-copy mentions.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reasoning was about a risk, not about a principle. Area pages are not inherently thin — they are thin when they are one template with a name swapped, which is how most of them are built.</w:t>
      </w:r>
    </w:p>
    <w:p>
      <w:pPr>
        <w:keepNext/>
        <w:spacing w:after="110" w:before="260" w:line="288"/>
      </w:pPr>
      <w:r>
        <w:rPr>
          <w:rFonts w:ascii="Poppins" w:cs="Poppins" w:eastAsia="Poppins" w:hAnsi="Poppins"/>
          <w:b/>
          <w:bCs/>
          <w:color w:val="1B3C6E"/>
          <w:sz w:val="23"/>
          <w:szCs w:val="23"/>
        </w:rPr>
        <w:t xml:space="preserve">1.2 What makes it defensible now</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CATCHMENT IS GENUINELY HETEROGENEOUS</w:t>
            </w:r>
          </w:p>
          <w:p>
            <w:pPr>
              <w:spacing w:after="0" w:line="258"/>
            </w:pPr>
            <w:r>
              <w:rPr>
                <w:rFonts w:ascii="Arial" w:cs="Arial" w:eastAsia="Arial" w:hAnsi="Arial"/>
                <w:b/>
                <w:bCs/>
                <w:i w:val="false"/>
                <w:iCs w:val="false"/>
                <w:caps w:val="false"/>
                <w:color w:val="2B3646"/>
                <w:sz w:val="18"/>
                <w:szCs w:val="18"/>
              </w:rPr>
              <w:t xml:space="preserve">This corner sits on a real demographic seam, and the neighbourhoods around it want different things from a laundromat. </w:t>
            </w:r>
            <w:r>
              <w:rPr>
                <w:rFonts w:ascii="Arial" w:cs="Arial" w:eastAsia="Arial" w:hAnsi="Arial"/>
                <w:b w:val="false"/>
                <w:bCs w:val="false"/>
                <w:i w:val="false"/>
                <w:iCs w:val="false"/>
                <w:caps w:val="false"/>
                <w:color w:val="2B3646"/>
                <w:sz w:val="18"/>
                <w:szCs w:val="18"/>
              </w:rPr>
              <w:t xml:space="preserve">Dunning is owner-occupied with bulky household items and in-unit machines that cannot handle them. Belmont Cragin is denser, renter-heavier and Spanish-dominant, where self-service is the core need. Montclare is small and quiet and is a delivery proposition. Those are not three ways of saying the same thing — they are three different service emphases, and a page that leads with the right one for each is doing real work rather than repeating itself.</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Original concern</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it is addressed</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Near-duplicate content</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uniqueness standard with a measurable floor (§2.2)</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genuine local difference to write about</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materially different service emphases (§3.2)</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Doorway-page risk</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 area matrix, ever (§2.3)</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Dilutes the service pages</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pages route to services; they never restate them</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creep at launch</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Sequenced after the thirteen — these ship in a second phase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One thing does not change: if a page cannot meet the standard in §2.2, it does not ship. Four strong area pages beat six weak ones, and the standard is the mechanism that enforces that rather than good intentions.</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Thin-Content Problem</w:t>
      </w:r>
    </w:p>
    <w:p>
      <w:pPr>
        <w:keepNext/>
        <w:spacing w:after="110" w:before="260" w:line="288"/>
      </w:pPr>
      <w:r>
        <w:rPr>
          <w:rFonts w:ascii="Poppins" w:cs="Poppins" w:eastAsia="Poppins" w:hAnsi="Poppins"/>
          <w:b/>
          <w:bCs/>
          <w:color w:val="1B3C6E"/>
          <w:sz w:val="23"/>
          <w:szCs w:val="23"/>
        </w:rPr>
        <w:t xml:space="preserve">2.1 How area pages fail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Failure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looks like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swap</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page written once, with the neighbourhood name find-and-replaced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census dump</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Population, median income and history padding a page with nothing to say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restatement</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services described again, per area — six copies of the services hub</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distance list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1.2 miles from Portage Park” as the only local content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landmark garnish</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paragraph naming local parks and schools with no connection to laundry</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matrix</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services × six areas = thirty-six pages of nothing (§2.3)</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CENSUS DUMP AND THE LANDMARK GARNISH ARE THE TEMPTING ONES</w:t>
            </w:r>
          </w:p>
          <w:p>
            <w:pPr>
              <w:spacing w:after="0" w:line="258"/>
            </w:pPr>
            <w:r>
              <w:rPr>
                <w:rFonts w:ascii="Arial" w:cs="Arial" w:eastAsia="Arial" w:hAnsi="Arial"/>
                <w:b/>
                <w:bCs/>
                <w:i w:val="false"/>
                <w:iCs w:val="false"/>
                <w:caps w:val="false"/>
                <w:color w:val="2B3646"/>
                <w:sz w:val="18"/>
                <w:szCs w:val="18"/>
              </w:rPr>
              <w:t xml:space="preserve">They feel like local content and they are not. </w:t>
            </w:r>
            <w:r>
              <w:rPr>
                <w:rFonts w:ascii="Arial" w:cs="Arial" w:eastAsia="Arial" w:hAnsi="Arial"/>
                <w:b w:val="false"/>
                <w:bCs w:val="false"/>
                <w:i w:val="false"/>
                <w:iCs w:val="false"/>
                <w:caps w:val="false"/>
                <w:color w:val="2B3646"/>
                <w:sz w:val="18"/>
                <w:szCs w:val="18"/>
              </w:rPr>
              <w:t xml:space="preserve">A reader does not need to be told the population of Portage Park by a laundromat, and naming three parks proves only that the writer used a map. Local content means content that is true of this neighbourhood’s relationship to this store — what people there need, how they get here, what they bring. Everything else is filler that a search engine reads as filler.</w:t>
            </w:r>
          </w:p>
        </w:tc>
      </w:tr>
    </w:tbl>
    <w:p>
      <w:pPr>
        <w:keepNext/>
        <w:spacing w:after="110" w:before="260" w:line="288"/>
      </w:pPr>
      <w:r>
        <w:rPr>
          <w:rFonts w:ascii="Poppins" w:cs="Poppins" w:eastAsia="Poppins" w:hAnsi="Poppins"/>
          <w:b/>
          <w:bCs/>
          <w:color w:val="1B3C6E"/>
          <w:sz w:val="23"/>
          <w:szCs w:val="23"/>
        </w:rPr>
        <w:t xml:space="preserve">2.2 The uniqueness standard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measurable floor, checked before any area page ships.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Unique body copy</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At least 60% of the page’s words appear on no other area page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distinct lead service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page leads with a different service emphasis (§3.2)</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local fact that matters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 least one thing true of this area’s laundry situation specifically</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route statement</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people actually get here from there — street, bus, parking</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descriptions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pages link to services; they never re-describe them</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demographic statistics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population, income or household figures — also the no-fabricated-stats rule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450–700 words. Below 450 it is thin; above 700 it is padding</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60% figure is checkable and should be checked. </w:t>
      </w:r>
      <w:r>
        <w:rPr>
          <w:rFonts w:ascii="Arial" w:cs="Arial" w:eastAsia="Arial" w:hAnsi="Arial"/>
          <w:b w:val="false"/>
          <w:bCs w:val="false"/>
          <w:i w:val="false"/>
          <w:iCs w:val="false"/>
          <w:caps w:val="false"/>
          <w:color w:val="2B3646"/>
          <w:sz w:val="20"/>
          <w:szCs w:val="20"/>
        </w:rPr>
        <w:t xml:space="preserve">A simple script comparing each page’s body text against the other five will surface a swap immediately, and it belongs in the QA pass alongside the vocabulary scans.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Boilerplate is permitted and excluded from the measure: </w:t>
      </w:r>
      <w:r>
        <w:rPr>
          <w:rFonts w:ascii="Arial" w:cs="Arial" w:eastAsia="Arial" w:hAnsi="Arial"/>
          <w:b w:val="false"/>
          <w:bCs w:val="false"/>
          <w:i w:val="false"/>
          <w:iCs w:val="false"/>
          <w:caps w:val="false"/>
          <w:color w:val="2B3646"/>
          <w:sz w:val="20"/>
          <w:szCs w:val="20"/>
        </w:rPr>
        <w:t xml:space="preserve">the header, footer, conversion band and NAP block are shared by design and are not body copy.</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If a page cannot reach 60%, it should not exist. </w:t>
      </w:r>
      <w:r>
        <w:rPr>
          <w:rFonts w:ascii="Arial" w:cs="Arial" w:eastAsia="Arial" w:hAnsi="Arial"/>
          <w:b w:val="false"/>
          <w:bCs w:val="false"/>
          <w:i w:val="false"/>
          <w:iCs w:val="false"/>
          <w:caps w:val="false"/>
          <w:color w:val="2B3646"/>
          <w:sz w:val="20"/>
          <w:szCs w:val="20"/>
        </w:rPr>
        <w:t xml:space="preserve">That is the honest signal that the area has nothing distinct about it, and the neighbourhood is better served by a mention on a page that does.</w:t>
      </w:r>
    </w:p>
    <w:p>
      <w:pPr>
        <w:keepNext/>
        <w:spacing w:after="110" w:before="260" w:line="288"/>
      </w:pPr>
      <w:r>
        <w:rPr>
          <w:rFonts w:ascii="Poppins" w:cs="Poppins" w:eastAsia="Poppins" w:hAnsi="Poppins"/>
          <w:b/>
          <w:bCs/>
          <w:color w:val="1B3C6E"/>
          <w:sz w:val="23"/>
          <w:szCs w:val="23"/>
        </w:rPr>
        <w:t xml:space="preserve">2.3 The matrix trap — forbidden</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SERVICE × AREA PAGES, EVER</w:t>
            </w:r>
          </w:p>
          <w:p>
            <w:pPr>
              <w:spacing w:after="60" w:line="258"/>
            </w:pPr>
            <w:r>
              <w:rPr>
                <w:rFonts w:ascii="Arial" w:cs="Arial" w:eastAsia="Arial" w:hAnsi="Arial"/>
                <w:b/>
                <w:bCs/>
                <w:i w:val="false"/>
                <w:iCs w:val="false"/>
                <w:caps w:val="false"/>
                <w:color w:val="2B3646"/>
                <w:sz w:val="18"/>
                <w:szCs w:val="18"/>
              </w:rPr>
              <w:t xml:space="preserve">No /services/pickup-delivery/dunning/. No /areas/dunning/wash-and-fold/. No combination of the two silos. </w:t>
            </w:r>
            <w:r>
              <w:rPr>
                <w:rFonts w:ascii="Arial" w:cs="Arial" w:eastAsia="Arial" w:hAnsi="Arial"/>
                <w:b w:val="false"/>
                <w:bCs w:val="false"/>
                <w:i w:val="false"/>
                <w:iCs w:val="false"/>
                <w:caps w:val="false"/>
                <w:color w:val="2B3646"/>
                <w:sz w:val="18"/>
                <w:szCs w:val="18"/>
              </w:rPr>
              <w:t xml:space="preserve">Six services across six areas is thirty-six pages, none of which can carry unique content, all of which compete with both parent pages, and every one of which is a textbook doorway page. This is the single most common way a local site destroys its own rankings, and it is usually done deliberately in the belief that it captures more long-tail. It captures a manual action.</w:t>
            </w:r>
          </w:p>
          <w:p>
            <w:pPr>
              <w:spacing w:after="0" w:line="258"/>
            </w:pPr>
            <w:r>
              <w:rPr>
                <w:rFonts w:ascii="Arial" w:cs="Arial" w:eastAsia="Arial" w:hAnsi="Arial"/>
                <w:b/>
                <w:bCs/>
                <w:i w:val="false"/>
                <w:iCs w:val="false"/>
                <w:caps w:val="false"/>
                <w:color w:val="2B3646"/>
                <w:sz w:val="18"/>
                <w:szCs w:val="18"/>
              </w:rPr>
              <w:t xml:space="preserve">Long-tail service-plus-area queries are served by the area page </w:t>
            </w:r>
            <w:r>
              <w:rPr>
                <w:rFonts w:ascii="Arial" w:cs="Arial" w:eastAsia="Arial" w:hAnsi="Arial"/>
                <w:b w:val="false"/>
                <w:bCs w:val="false"/>
                <w:i w:val="false"/>
                <w:iCs w:val="false"/>
                <w:caps w:val="false"/>
                <w:color w:val="2B3646"/>
                <w:sz w:val="18"/>
                <w:szCs w:val="18"/>
              </w:rPr>
              <w:t xml:space="preserve">naming the service in its lead emphasis, and by the service page naming the areas in its copy and schema. Both already exist.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Which Areas</w:t>
      </w:r>
    </w:p>
    <w:p>
      <w:pPr>
        <w:keepNext/>
        <w:spacing w:after="110" w:before="260" w:line="288"/>
      </w:pPr>
      <w:r>
        <w:rPr>
          <w:rFonts w:ascii="Poppins" w:cs="Poppins" w:eastAsia="Poppins" w:hAnsi="Poppins"/>
          <w:b/>
          <w:bCs/>
          <w:color w:val="1B3C6E"/>
          <w:sz w:val="23"/>
          <w:szCs w:val="23"/>
        </w:rPr>
        <w:t xml:space="preserve">3.1 The six to build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4428"/>
        <w:gridCol w:w="3221"/>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Area</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Relationship</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Priority</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store is here — a home page, not a service-area page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1</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Immediately east; largest adjacent population</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2</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South; densest, most Spanish-speaking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3</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Southwest; small, quiet, delivery-led</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West; borders Elmwood Park</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Northeast; edge of the delivery ring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6 — build only if the ring reaches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DUNNING IS A DIFFERENT KIND OF PAGE</w:t>
            </w:r>
          </w:p>
          <w:p>
            <w:pPr>
              <w:spacing w:after="0" w:line="258"/>
            </w:pPr>
            <w:r>
              <w:rPr>
                <w:rFonts w:ascii="Arial" w:cs="Arial" w:eastAsia="Arial" w:hAnsi="Arial"/>
                <w:b/>
                <w:bCs/>
                <w:i w:val="false"/>
                <w:iCs w:val="false"/>
                <w:caps w:val="false"/>
                <w:color w:val="2B3646"/>
                <w:sz w:val="18"/>
                <w:szCs w:val="18"/>
              </w:rPr>
              <w:t xml:space="preserve">The store is in Dunning. A page about the neighbourhood you are in is not a service-area page — it is a home-turf page, and writing it like the other five would be strange. </w:t>
            </w:r>
            <w:r>
              <w:rPr>
                <w:rFonts w:ascii="Arial" w:cs="Arial" w:eastAsia="Arial" w:hAnsi="Arial"/>
                <w:b w:val="false"/>
                <w:bCs w:val="false"/>
                <w:i w:val="false"/>
                <w:iCs w:val="false"/>
                <w:caps w:val="false"/>
                <w:color w:val="2B3646"/>
                <w:sz w:val="18"/>
                <w:szCs w:val="18"/>
              </w:rPr>
              <w:t xml:space="preserve">It leads with walking and driving in, parking, and the store as a local fixture, and it is the one area page where delivery is the secondary message. Treat it as its own template variant.</w:t>
            </w:r>
          </w:p>
        </w:tc>
      </w:tr>
    </w:tbl>
    <w:p>
      <w:pPr>
        <w:keepNext/>
        <w:spacing w:after="110" w:before="260" w:line="288"/>
      </w:pPr>
      <w:r>
        <w:rPr>
          <w:rFonts w:ascii="Poppins" w:cs="Poppins" w:eastAsia="Poppins" w:hAnsi="Poppins"/>
          <w:b/>
          <w:bCs/>
          <w:color w:val="1B3C6E"/>
          <w:sz w:val="23"/>
          <w:szCs w:val="23"/>
        </w:rPr>
        <w:t xml:space="preserve">3.2 What is genuinely different about each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table is the content plan. If a page cannot fill its row honestly, it does not get built.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2013"/>
        <w:gridCol w:w="5837"/>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Area</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Lead service</w:t>
            </w:r>
          </w:p>
        </w:tc>
        <w:tc>
          <w:tcPr>
            <w:tcW w:type="dxa" w:w="58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local truth it turns on</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Dunning</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and walk-in</w:t>
            </w:r>
          </w:p>
        </w:tc>
        <w:tc>
          <w:tcPr>
            <w:tcW w:type="dxa" w:w="58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store is here. Nobody in Dunning is deciding whether to travel — they are deciding whether it is any good</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Portage Park</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58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Bungalow belt, families, in-unit machines that handle daily laundry but not volume. Drop-off is the natural fit</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Belmont Cragin</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in Spanish</w:t>
            </w:r>
          </w:p>
        </w:tc>
        <w:tc>
          <w:tcPr>
            <w:tcW w:type="dxa" w:w="58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Denser, renter-heavier, many without in-unit laundry. The Spanish version of this page matters more than the English one</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Montclare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8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and quiet, slightly further out. The trip is the friction, so removing it is the offer</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58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Larger lots and single-family housing — rugs, comforters, the things that do not fit</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Jefferson Park</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58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 the ring’s edge. The honest question is whether we reach it at all</w:t>
            </w:r>
          </w:p>
        </w:tc>
      </w:tr>
    </w:tbl>
    <w:p>
      <w:pPr>
        <w:keepNext/>
        <w:spacing w:after="110" w:before="260" w:line="288"/>
      </w:pPr>
      <w:r>
        <w:rPr>
          <w:rFonts w:ascii="Poppins" w:cs="Poppins" w:eastAsia="Poppins" w:hAnsi="Poppins"/>
          <w:b/>
          <w:bCs/>
          <w:color w:val="1B3C6E"/>
          <w:sz w:val="23"/>
          <w:szCs w:val="23"/>
        </w:rPr>
        <w:t xml:space="preserve">3.3 Areas not to build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Area</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not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Elmwood Park</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A separate municipality, not a Chicago neighbourhood — confirm the ring reaches it before writing anything</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Irving Park</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sister store already serves it. Two stores from one owner competing for one neighbourhood helps neither</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Logan Square, Avondale, Hermosa, Albany Park</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The sister store’s pages. Do not duplicate them</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Norwood Park</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Beyond a plausible ring; nothing distinct to say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Schorsch Village, Belmont Heights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Sub-neighbourhoods of Dunning — mentions on the Dunning page, not pages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ZIP-based page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ZIP is not a place anyone identifies with. 60634 is a fact, not an audience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SISTER-STORE OVERLAP IS A REAL COMMERCIAL RISK</w:t>
            </w:r>
          </w:p>
          <w:p>
            <w:pPr>
              <w:spacing w:after="0" w:line="258"/>
            </w:pPr>
            <w:r>
              <w:rPr>
                <w:rFonts w:ascii="Arial" w:cs="Arial" w:eastAsia="Arial" w:hAnsi="Arial"/>
                <w:b/>
                <w:bCs/>
                <w:i w:val="false"/>
                <w:iCs w:val="false"/>
                <w:caps w:val="false"/>
                <w:color w:val="2B3646"/>
                <w:sz w:val="18"/>
                <w:szCs w:val="18"/>
              </w:rPr>
              <w:t xml:space="preserve">Spin It Up already ranks for Avondale, Irving Park, Logan Square, Hermosa and Albany Park. </w:t>
            </w:r>
            <w:r>
              <w:rPr>
                <w:rFonts w:ascii="Arial" w:cs="Arial" w:eastAsia="Arial" w:hAnsi="Arial"/>
                <w:b w:val="false"/>
                <w:bCs w:val="false"/>
                <w:i w:val="false"/>
                <w:iCs w:val="false"/>
                <w:caps w:val="false"/>
                <w:color w:val="2B3646"/>
                <w:sz w:val="18"/>
                <w:szCs w:val="18"/>
              </w:rPr>
              <w:t xml:space="preserve">Building Laundry Station pages for those neighbourhoods puts one owner’s two businesses in competition for the same searches, splits whatever local authority exists between them, and gains nothing — a customer in Logan Square is closer to Kimball Avenue anyway. Check the sister site’s area list before adding any page to this silo.</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URL Structure &amp; the Hub</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/areas/                        the hub</w:t>
            </w:r>
          </w:p>
          <w:p>
            <w:pPr>
              <w:spacing w:after="0" w:line="236"/>
            </w:pPr>
            <w:r>
              <w:rPr>
                <w:rFonts w:ascii="Consolas" w:cs="Consolas" w:eastAsia="Consolas" w:hAnsi="Consolas"/>
                <w:color w:val="10233F"/>
                <w:sz w:val="16"/>
                <w:szCs w:val="16"/>
              </w:rPr>
              <w:t xml:space="preserve">/areas/dunning/</w:t>
            </w:r>
          </w:p>
          <w:p>
            <w:pPr>
              <w:spacing w:after="0" w:line="236"/>
            </w:pPr>
            <w:r>
              <w:rPr>
                <w:rFonts w:ascii="Consolas" w:cs="Consolas" w:eastAsia="Consolas" w:hAnsi="Consolas"/>
                <w:color w:val="10233F"/>
                <w:sz w:val="16"/>
                <w:szCs w:val="16"/>
              </w:rPr>
              <w:t xml:space="preserve">/areas/portage-park/</w:t>
            </w:r>
          </w:p>
          <w:p>
            <w:pPr>
              <w:spacing w:after="0" w:line="236"/>
            </w:pPr>
            <w:r>
              <w:rPr>
                <w:rFonts w:ascii="Consolas" w:cs="Consolas" w:eastAsia="Consolas" w:hAnsi="Consolas"/>
                <w:color w:val="10233F"/>
                <w:sz w:val="16"/>
                <w:szCs w:val="16"/>
              </w:rPr>
              <w:t xml:space="preserve">/areas/belmont-cragin/</w:t>
            </w:r>
          </w:p>
          <w:p>
            <w:pPr>
              <w:spacing w:after="0" w:line="236"/>
            </w:pPr>
            <w:r>
              <w:rPr>
                <w:rFonts w:ascii="Consolas" w:cs="Consolas" w:eastAsia="Consolas" w:hAnsi="Consolas"/>
                <w:color w:val="10233F"/>
                <w:sz w:val="16"/>
                <w:szCs w:val="16"/>
              </w:rPr>
              <w:t xml:space="preserve">/areas/montclare/</w:t>
            </w:r>
          </w:p>
          <w:p>
            <w:pPr>
              <w:spacing w:after="0" w:line="236"/>
            </w:pPr>
            <w:r>
              <w:rPr>
                <w:rFonts w:ascii="Consolas" w:cs="Consolas" w:eastAsia="Consolas" w:hAnsi="Consolas"/>
                <w:color w:val="10233F"/>
                <w:sz w:val="16"/>
                <w:szCs w:val="16"/>
              </w:rPr>
              <w:t xml:space="preserve">/areas/galewood/</w:t>
            </w:r>
          </w:p>
          <w:p>
            <w:pPr>
              <w:spacing w:after="0" w:line="236"/>
            </w:pPr>
            <w:r>
              <w:rPr>
                <w:rFonts w:ascii="Consolas" w:cs="Consolas" w:eastAsia="Consolas" w:hAnsi="Consolas"/>
                <w:color w:val="10233F"/>
                <w:sz w:val="16"/>
                <w:szCs w:val="16"/>
              </w:rPr>
              <w:t xml:space="preserve">/areas/jefferson-park/        (conditional on the delivery ring)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/es/zonas/</w:t>
            </w:r>
          </w:p>
          <w:p>
            <w:pPr>
              <w:spacing w:after="0" w:line="236"/>
            </w:pPr>
            <w:r>
              <w:rPr>
                <w:rFonts w:ascii="Consolas" w:cs="Consolas" w:eastAsia="Consolas" w:hAnsi="Consolas"/>
                <w:color w:val="10233F"/>
                <w:sz w:val="16"/>
                <w:szCs w:val="16"/>
              </w:rPr>
              <w:t xml:space="preserve">/es/zonas/dunning/            neighbourhood names stay in English</w:t>
            </w:r>
          </w:p>
          <w:p>
            <w:pPr>
              <w:spacing w:after="0" w:line="236"/>
            </w:pPr>
            <w:r>
              <w:rPr>
                <w:rFonts w:ascii="Consolas" w:cs="Consolas" w:eastAsia="Consolas" w:hAnsi="Consolas"/>
                <w:color w:val="10233F"/>
                <w:sz w:val="16"/>
                <w:szCs w:val="16"/>
              </w:rPr>
              <w:t xml:space="preserve">/es/zonas/portage-park/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FORBIDDEN:</w:t>
            </w:r>
          </w:p>
          <w:p>
            <w:pPr>
              <w:spacing w:after="0" w:line="236"/>
            </w:pPr>
            <w:r>
              <w:rPr>
                <w:rFonts w:ascii="Consolas" w:cs="Consolas" w:eastAsia="Consolas" w:hAnsi="Consolas"/>
                <w:color w:val="10233F"/>
                <w:sz w:val="16"/>
                <w:szCs w:val="16"/>
              </w:rPr>
              <w:t xml:space="preserve">  /services/{service}/{area}/    — the matrix (§2.3)</w:t>
            </w:r>
          </w:p>
          <w:p>
            <w:pPr>
              <w:spacing w:after="0" w:line="236"/>
            </w:pPr>
            <w:r>
              <w:rPr>
                <w:rFonts w:ascii="Consolas" w:cs="Consolas" w:eastAsia="Consolas" w:hAnsi="Consolas"/>
                <w:color w:val="10233F"/>
                <w:sz w:val="16"/>
                <w:szCs w:val="16"/>
              </w:rPr>
              <w:t xml:space="preserve">  /laundromat-{area}/            — flat keyword URLs</w:t>
            </w:r>
          </w:p>
          <w:p>
            <w:pPr>
              <w:spacing w:after="0" w:line="236"/>
            </w:pPr>
            <w:r>
              <w:rPr>
                <w:rFonts w:ascii="Consolas" w:cs="Consolas" w:eastAsia="Consolas" w:hAnsi="Consolas"/>
                <w:color w:val="10233F"/>
                <w:sz w:val="16"/>
                <w:szCs w:val="16"/>
              </w:rPr>
              <w:t xml:space="preserve">  /areas/60634/                  — ZIP pages</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hub is a real page, not a redirect. </w:t>
      </w:r>
      <w:r>
        <w:rPr>
          <w:rFonts w:ascii="Arial" w:cs="Arial" w:eastAsia="Arial" w:hAnsi="Arial"/>
          <w:b w:val="false"/>
          <w:bCs w:val="false"/>
          <w:i w:val="false"/>
          <w:iCs w:val="false"/>
          <w:caps w:val="false"/>
          <w:color w:val="2B3646"/>
          <w:sz w:val="20"/>
          <w:szCs w:val="20"/>
        </w:rPr>
        <w:t xml:space="preserve">It carries the delivery ring in one map, one honest sentence on where the boundary sits, and six links. It is short by design — roughly 250 words — and it is the page that answers “do you come to me.”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Spanish slugs keep the English neighbourhood names </w:t>
      </w:r>
      <w:r>
        <w:rPr>
          <w:rFonts w:ascii="Arial" w:cs="Arial" w:eastAsia="Arial" w:hAnsi="Arial"/>
          <w:b w:val="false"/>
          <w:bCs w:val="false"/>
          <w:i w:val="false"/>
          <w:iCs w:val="false"/>
          <w:caps w:val="false"/>
          <w:color w:val="2B3646"/>
          <w:sz w:val="20"/>
          <w:szCs w:val="20"/>
        </w:rPr>
        <w:t xml:space="preserve">for the same reason the address does — they are navigational proper nouns. The path segment is translated, the place is not.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Breadcrumbs: </w:t>
      </w:r>
      <w:r>
        <w:rPr>
          <w:rFonts w:ascii="Arial" w:cs="Arial" w:eastAsia="Arial" w:hAnsi="Arial"/>
          <w:b w:val="false"/>
          <w:bCs w:val="false"/>
          <w:i w:val="false"/>
          <w:iCs w:val="false"/>
          <w:caps w:val="false"/>
          <w:color w:val="2B3646"/>
          <w:sz w:val="20"/>
          <w:szCs w:val="20"/>
        </w:rPr>
        <w:t xml:space="preserve">Home → Areas → &lt;neighbourhood&gt;. The hub must resolve, exactly as /services/ must.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These pages join the footer, not the main nav. </w:t>
      </w:r>
      <w:r>
        <w:rPr>
          <w:rFonts w:ascii="Arial" w:cs="Arial" w:eastAsia="Arial" w:hAnsi="Arial"/>
          <w:b w:val="false"/>
          <w:bCs w:val="false"/>
          <w:i w:val="false"/>
          <w:iCs w:val="false"/>
          <w:caps w:val="false"/>
          <w:color w:val="2B3646"/>
          <w:sz w:val="20"/>
          <w:szCs w:val="20"/>
        </w:rPr>
        <w:t xml:space="preserve">A seven-item nav is already at its limit, and area pages are entry points from search rather than navigation destinations.</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Shared Page Skeleton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area page carries the same seven blocks. The skeleton is shared; the content in it is not.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013"/>
        <w:gridCol w:w="6844"/>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varies by area</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names the neighbourhood; lede states the lead service for that area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local truth</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Entirely unique — the §3.2 row, written out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lead service</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different service per area; two short paragraphs, then a link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Getting here</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Street route, bus, parking, drive time — genuinely different per area</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else we do</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remaining services as one-line links — the only boilerplate block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or three questions specific to that area — delivery, distance, hours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 Schedule, Call, Directions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BLOCK 4 IS THE MOST UNDERRATED</w:t>
            </w:r>
          </w:p>
          <w:p>
            <w:pPr>
              <w:spacing w:after="0" w:line="258"/>
            </w:pPr>
            <w:r>
              <w:rPr>
                <w:rFonts w:ascii="Arial" w:cs="Arial" w:eastAsia="Arial" w:hAnsi="Arial"/>
                <w:b/>
                <w:bCs/>
                <w:i w:val="false"/>
                <w:iCs w:val="false"/>
                <w:caps w:val="false"/>
                <w:color w:val="2B3646"/>
                <w:sz w:val="18"/>
                <w:szCs w:val="18"/>
              </w:rPr>
              <w:t xml:space="preserve">“How do I get there” is a real question with a genuinely different answer per neighbourhood, and almost nobody answers it. </w:t>
            </w:r>
            <w:r>
              <w:rPr>
                <w:rFonts w:ascii="Arial" w:cs="Arial" w:eastAsia="Arial" w:hAnsi="Arial"/>
                <w:b w:val="false"/>
                <w:bCs w:val="false"/>
                <w:i w:val="false"/>
                <w:iCs w:val="false"/>
                <w:caps w:val="false"/>
                <w:color w:val="2B3646"/>
                <w:sz w:val="18"/>
                <w:szCs w:val="18"/>
              </w:rPr>
              <w:t xml:space="preserve">Which street to come down, where the bus stops, whether parking is easy, how long it takes at eleven on a Saturday. It is unique by construction, it is useful, and it is the block most likely to be read by someone who is about to visit. It also cannot be faked, which is exactly what makes it good content.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is the only shared block, and it is deliberately thin — five one-line links, no descriptions. The moment it grows paragraphs, six area pages become six copies of the services hub.</w:t>
      </w:r>
    </w:p>
    <w:p>
      <w:pPr>
        <w:keepNext/>
        <w:pBdr>
          <w:bottom w:val="single" w:color="E8751A" w:sz="14" w:space="8"/>
        </w:pBdr>
        <w:spacing w:after="150" w:before="300" w:line="300"/>
      </w:pPr>
      <w:r>
        <w:rPr>
          <w:rFonts w:ascii="Poppins" w:cs="Poppins" w:eastAsia="Poppins" w:hAnsi="Poppins"/>
          <w:b/>
          <w:bCs/>
          <w:color w:val="1B3C6E"/>
          <w:sz w:val="30"/>
          <w:szCs w:val="30"/>
        </w:rPr>
        <w:t xml:space="preserve">6. Structured Data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WebPage + Speakable and BreadcrumbList per page. The hub carries an ItemList of the six. That is all.</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PER-AREA LOCALBUSINESS OBJECTS</w:t>
            </w:r>
          </w:p>
          <w:p>
            <w:pPr>
              <w:spacing w:after="0" w:line="258"/>
            </w:pPr>
            <w:r>
              <w:rPr>
                <w:rFonts w:ascii="Arial" w:cs="Arial" w:eastAsia="Arial" w:hAnsi="Arial"/>
                <w:b/>
                <w:bCs/>
                <w:i w:val="false"/>
                <w:iCs w:val="false"/>
                <w:caps w:val="false"/>
                <w:color w:val="2B3646"/>
                <w:sz w:val="18"/>
                <w:szCs w:val="18"/>
              </w:rPr>
              <w:t xml:space="preserve">The single most damaging thing an area silo can do is emit a LocalBusiness object per page. </w:t>
            </w:r>
            <w:r>
              <w:rPr>
                <w:rFonts w:ascii="Arial" w:cs="Arial" w:eastAsia="Arial" w:hAnsi="Arial"/>
                <w:b w:val="false"/>
                <w:bCs w:val="false"/>
                <w:i w:val="false"/>
                <w:iCs w:val="false"/>
                <w:caps w:val="false"/>
                <w:color w:val="2B3646"/>
                <w:sz w:val="18"/>
                <w:szCs w:val="18"/>
              </w:rPr>
              <w:t xml:space="preserve">That tells search engines there are six Laundry Stations, one in each neighbourhood, at addresses that do not exist. It fragments the entity, it conflicts with the Google Business Profile, and it is a fabricated location claim. The business object exists once, on the homepage, and area pages reference it by @id or not at all.</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"WebPage",</w:t>
            </w:r>
          </w:p>
          <w:p>
            <w:pPr>
              <w:spacing w:after="0" w:line="236"/>
            </w:pPr>
            <w:r>
              <w:rPr>
                <w:rFonts w:ascii="Consolas" w:cs="Consolas" w:eastAsia="Consolas" w:hAnsi="Consolas"/>
                <w:color w:val="10233F"/>
                <w:sz w:val="16"/>
                <w:szCs w:val="16"/>
              </w:rPr>
              <w:t xml:space="preserve">  "@id": "https://{{DOMAIN}}/areas/portage-park/#webpage",</w:t>
            </w:r>
          </w:p>
          <w:p>
            <w:pPr>
              <w:spacing w:after="0" w:line="236"/>
            </w:pPr>
            <w:r>
              <w:rPr>
                <w:rFonts w:ascii="Consolas" w:cs="Consolas" w:eastAsia="Consolas" w:hAnsi="Consolas"/>
                <w:color w:val="10233F"/>
                <w:sz w:val="16"/>
                <w:szCs w:val="16"/>
              </w:rPr>
              <w:t xml:space="preserve">  "inLanguage": "en",</w:t>
            </w:r>
          </w:p>
          <w:p>
            <w:pPr>
              <w:spacing w:after="0" w:line="236"/>
            </w:pPr>
            <w:r>
              <w:rPr>
                <w:rFonts w:ascii="Consolas" w:cs="Consolas" w:eastAsia="Consolas" w:hAnsi="Consolas"/>
                <w:color w:val="10233F"/>
                <w:sz w:val="16"/>
                <w:szCs w:val="16"/>
              </w:rPr>
              <w:t xml:space="preserve">  "isPartOf": { "@id": "https://{{DOMAIN}}/#business" },</w:t>
            </w:r>
          </w:p>
          <w:p>
            <w:pPr>
              <w:spacing w:after="0" w:line="236"/>
            </w:pPr>
            <w:r>
              <w:rPr>
                <w:rFonts w:ascii="Consolas" w:cs="Consolas" w:eastAsia="Consolas" w:hAnsi="Consolas"/>
                <w:color w:val="10233F"/>
                <w:sz w:val="16"/>
                <w:szCs w:val="16"/>
              </w:rPr>
              <w:t xml:space="preserve">  "about": { "@type": "Place", "name": "Portage Park, Chicago" },</w:t>
            </w:r>
          </w:p>
          <w:p>
            <w:pPr>
              <w:spacing w:after="0" w:line="236"/>
            </w:pPr>
            <w:r>
              <w:rPr>
                <w:rFonts w:ascii="Consolas" w:cs="Consolas" w:eastAsia="Consolas" w:hAnsi="Consolas"/>
                <w:color w:val="10233F"/>
                <w:sz w:val="16"/>
                <w:szCs w:val="16"/>
              </w:rPr>
              <w:t xml:space="preserve">  "speakable": { "@type": "SpeakableSpecification",</w:t>
            </w:r>
          </w:p>
          <w:p>
            <w:pPr>
              <w:spacing w:after="0" w:line="236"/>
            </w:pPr>
            <w:r>
              <w:rPr>
                <w:rFonts w:ascii="Consolas" w:cs="Consolas" w:eastAsia="Consolas" w:hAnsi="Consolas"/>
                <w:color w:val="10233F"/>
                <w:sz w:val="16"/>
                <w:szCs w:val="16"/>
              </w:rPr>
              <w:t xml:space="preserve">                 "cssSelector": ["h1.hero__title", "p.hero__lede"] }</w:t>
            </w:r>
          </w:p>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No LocalBusiness. No Service. No Offer. No aggregateRating. */</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objects also stay off these pages — each service is described once, on its own page, and duplicating the markup here would recreate the FAQPage duplication problem in a different silo. The areaServed arrays on the existing Service objects already carry the geographic signal.</w:t>
      </w:r>
    </w:p>
    <w:p>
      <w:pPr>
        <w:keepNext/>
        <w:pBdr>
          <w:bottom w:val="single" w:color="E8751A" w:sz="14" w:space="8"/>
        </w:pBdr>
        <w:spacing w:after="150" w:before="300" w:line="300"/>
      </w:pPr>
      <w:r>
        <w:rPr>
          <w:rFonts w:ascii="Poppins" w:cs="Poppins" w:eastAsia="Poppins" w:hAnsi="Poppins"/>
          <w:b/>
          <w:bCs/>
          <w:color w:val="1B3C6E"/>
          <w:sz w:val="30"/>
          <w:szCs w:val="30"/>
        </w:rPr>
        <w:t xml:space="preserve">7. Internal Linking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Direction</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Hub → area</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 hub</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Breadcrumb only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 its lead service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Twice — from block 3 and the conversion band</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 other services</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line each in block 5</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 area</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Never — neighbourhood cross-linking is a doorway signal</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 area</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links to the hub only, not to individual areas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 hub</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From the existing neighbourhoods block</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 hub</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link, not six</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no-cross-linking rule is the one that gets broken. A block of “we also serve” links at the foot of every area page is the classic doorway pattern, it adds nothing for a reader who lives in one neighbourhood, and it makes the six pages look like a set rather than six answers. The hub does that job.</w:t>
      </w:r>
    </w:p>
    <w:p>
      <w:pPr>
        <w:keepNext/>
        <w:pBdr>
          <w:bottom w:val="single" w:color="E8751A" w:sz="14" w:space="8"/>
        </w:pBdr>
        <w:spacing w:after="150" w:before="300" w:line="300"/>
      </w:pPr>
      <w:r>
        <w:rPr>
          <w:rFonts w:ascii="Poppins" w:cs="Poppins" w:eastAsia="Poppins" w:hAnsi="Poppins"/>
          <w:b/>
          <w:bCs/>
          <w:color w:val="1B3C6E"/>
          <w:sz w:val="30"/>
          <w:szCs w:val="30"/>
        </w:rPr>
        <w:t xml:space="preserve">8. Value Register &amp; Production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2717"/>
        <w:gridCol w:w="3724"/>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delivery ring — exact boundary</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Determines whether Jefferson Park and Galewood exist at all</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Does the ring reach Elmwood Park?</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separate municipality — a real operational question</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 routes and stops per area</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verify</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4; checkable and worth checking</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Drive times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ASSUMED — verify</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4</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Parking</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 with Contact</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Sister-store area list</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CONFIRMED</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Avondale, Irving Park, Logan Square, Hermosa, Albany Park</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Lead service per area</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PROPOSED — owner may reorder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delivery ring blocks two of the six pages outright. Dunning, Portage Park, Belmont Cragin and Montclare are all close enough that they are certain to be served whatever the ring turns out to be; Galewood and Jefferson Park are not, and writing them before the ring is confirmed risks publishing a service area the store does not cover.</w:t>
      </w:r>
    </w:p>
    <w:p>
      <w:pPr>
        <w:keepNext/>
        <w:pBdr>
          <w:bottom w:val="single" w:color="E8751A" w:sz="14" w:space="8"/>
        </w:pBdr>
        <w:spacing w:after="150" w:before="300" w:line="300"/>
      </w:pPr>
      <w:r>
        <w:rPr>
          <w:rFonts w:ascii="Poppins" w:cs="Poppins" w:eastAsia="Poppins" w:hAnsi="Poppins"/>
          <w:b/>
          <w:bCs/>
          <w:color w:val="1B3C6E"/>
          <w:sz w:val="30"/>
          <w:szCs w:val="30"/>
        </w:rPr>
        <w:t xml:space="preserve">9.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Uniqueness check run — every page ≥60% body copy unique against the other five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page leads with a different service emphasis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page carries a local truth, a route statement, and area-specific FAQ questions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descriptions on any area page — links only</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demographic statistics, populations or income figures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450–700 per page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service × area URLs exist anywhere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LocalBusiness, Service, Offer or rating markup on any area page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area-to-area cross-links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/areas/ hub resolves; breadcrumbs point at it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 carries one hub link, not six area links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page built for a sister-store neighbourhood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Galewood and Jefferson Park gated on the confirmed delivery ring</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mirrors built to the nine-point standard; Belmont Cragin prioritised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per-page design checks pass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ONE CHECK THAT MATTERS MOST</w:t>
            </w:r>
          </w:p>
          <w:p>
            <w:pPr>
              <w:spacing w:after="0" w:line="258"/>
            </w:pPr>
            <w:r>
              <w:rPr>
                <w:rFonts w:ascii="Arial" w:cs="Arial" w:eastAsia="Arial" w:hAnsi="Arial"/>
                <w:b/>
                <w:bCs/>
                <w:i w:val="false"/>
                <w:iCs w:val="false"/>
                <w:caps w:val="false"/>
                <w:color w:val="2B3646"/>
                <w:sz w:val="18"/>
                <w:szCs w:val="18"/>
              </w:rPr>
              <w:t xml:space="preserve">Run the uniqueness comparison before anything else and act on the result. </w:t>
            </w:r>
            <w:r>
              <w:rPr>
                <w:rFonts w:ascii="Arial" w:cs="Arial" w:eastAsia="Arial" w:hAnsi="Arial"/>
                <w:b w:val="false"/>
                <w:bCs w:val="false"/>
                <w:i w:val="false"/>
                <w:iCs w:val="false"/>
                <w:caps w:val="false"/>
                <w:color w:val="2B3646"/>
                <w:sz w:val="18"/>
                <w:szCs w:val="18"/>
              </w:rPr>
              <w:t xml:space="preserve">If two pages come back at 80% similarity, the honest response is to merge them or drop one — not to reword until the number passes. The standard exists to answer the question “does this neighbourhood have something of its own to say,” and a page that only passes after being padded has already answered it.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 Area Pages Program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 Area Pages Program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 Area Pages Program Guide v1.0</dc:title>
  <dc:creator>TradeWorks AI</dc:creator>
  <dc:description>Laundry Station — Website Content Strategy &amp; Plan v1.0</dc:description>
  <cp:lastModifiedBy>Un-named</cp:lastModifiedBy>
  <cp:revision>1</cp:revision>
  <dcterms:created xsi:type="dcterms:W3CDTF">2026-07-29T21:55:10.127Z</dcterms:created>
  <dcterms:modified xsi:type="dcterms:W3CDTF">2026-07-29T21:55:10.127Z</dcterms:modified>
</cp:coreProperties>
</file>

<file path=docProps/custom.xml><?xml version="1.0" encoding="utf-8"?>
<Properties xmlns="http://schemas.openxmlformats.org/officeDocument/2006/custom-properties" xmlns:vt="http://schemas.openxmlformats.org/officeDocument/2006/docPropsVTypes"/>
</file>