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Commercial</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How the page is drawn — and the one page on this site whose visual anchor is a form, not a button.</w:t>
      </w:r>
    </w:p>
    <w:p>
      <w:pPr>
        <w:spacing w:after="60" w:line="288"/>
      </w:pPr>
      <w:r>
        <w:rPr>
          <w:rFonts w:ascii="Arial" w:cs="Arial" w:eastAsia="Arial" w:hAnsi="Arial"/>
          <w:color w:val="6A7686"/>
          <w:sz w:val="20"/>
          <w:szCs w:val="20"/>
        </w:rPr>
        <w:t xml:space="preserve">/services/commercial/  ·  Laundry Station  ·  Hero variant B</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here,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Commercial Developer Guide v1.0 · Commercial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New component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None. The form is specified in Supplement §8.8 and used here for the first time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Adds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rendering convention for provisional values (§4)</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high-fidelity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What Makes This Page Different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Band rhythm and surface order</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amber audit — and the anchor problem</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Block-by-Block Craft Spec</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3.1 Hero</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3.2 The segment grid</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How an account works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3.4 What businesses get</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3.5 Pricing as a process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3.6 Reliability strip</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3.7 The quote form — the visual anchor</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3.8 FAQ, conversion and related</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4. Rendering Provisional Values</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5. Responsive Behaviour</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6.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What Makes This Page Different</w:t>
      </w:r>
    </w:p>
    <w:p>
      <w:pPr>
        <w:keepNext w:val="false"/>
        <w:spacing w:after="120" w:before="0" w:line="264"/>
      </w:pPr>
      <w:r>
        <w:rPr>
          <w:rFonts w:ascii="Arial" w:cs="Arial" w:eastAsia="Arial" w:hAnsi="Arial"/>
          <w:b/>
          <w:bCs/>
          <w:i w:val="false"/>
          <w:iCs w:val="false"/>
          <w:caps w:val="false"/>
          <w:color w:val="1B3C6E"/>
          <w:sz w:val="20"/>
          <w:szCs w:val="20"/>
        </w:rPr>
        <w:t xml:space="preserve">Every other page on this site funnels to a button. This one funnels to a form. </w:t>
      </w:r>
      <w:r>
        <w:rPr>
          <w:rFonts w:ascii="Arial" w:cs="Arial" w:eastAsia="Arial" w:hAnsi="Arial"/>
          <w:b w:val="false"/>
          <w:bCs w:val="false"/>
          <w:i w:val="false"/>
          <w:iCs w:val="false"/>
          <w:caps w:val="false"/>
          <w:color w:val="2B3646"/>
          <w:sz w:val="20"/>
          <w:szCs w:val="20"/>
        </w:rPr>
        <w:t xml:space="preserve">That single difference changes the whole composition: the form is the destination, so it gets the visual weight a hero CTA gets elsewhere, and every block above it exists to make filling it in feel reasonable. It is also the first page to use the form component from Design Supplement §8.8, which until now has been specified and unused.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Other service pages</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action is Schedule Pickup → Cents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action is a quote request → an on-page form</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CTA repeats in several bands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CTA is an anchor link that scrolls to one place</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Rates table publishes numbers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published numbers at all — pricing is explained, not listed</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Reads to a household</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Reads to an owner-operator deciding whether to trust a supplier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p>
      <w:pPr>
        <w:keepNext/>
        <w:spacing w:after="110" w:before="260" w:line="288"/>
      </w:pPr>
      <w:r>
        <w:rPr>
          <w:rFonts w:ascii="Poppins" w:cs="Poppins" w:eastAsia="Poppins" w:hAnsi="Poppins"/>
          <w:b/>
          <w:bCs/>
          <w:color w:val="1B3C6E"/>
          <w:sz w:val="23"/>
          <w:szCs w:val="23"/>
        </w:rPr>
        <w:t xml:space="preserve">2.1 Band rhythm and surface order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214"/>
        <w:gridCol w:w="2013"/>
        <w:gridCol w:w="46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Components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B)</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lede, anchor primary + secondary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Who it’s for</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 × 6, 3×2 grid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an account works</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Four-step flow</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businesses get</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Six-item list, two columns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as a process</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Prose in an inset panel</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Reliability strip</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line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 form</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Form — the page’s visual anchor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 6</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 &amp; related</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 / --surface-1</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Action row + card × 2</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Surfaces read 1-2-1-2-1-2-3-1-2-3-1-dark. Block 7 sits on --surface-1 deliberately: the form is the lightest, cleanest thing on the page, and putting it on plain white after the deeper --surface-3 strip above makes it read as the destination rather than as another section.</w:t>
      </w:r>
    </w:p>
    <w:p>
      <w:pPr>
        <w:keepNext/>
        <w:spacing w:after="110" w:before="260" w:line="288"/>
      </w:pPr>
      <w:r>
        <w:rPr>
          <w:rFonts w:ascii="Poppins" w:cs="Poppins" w:eastAsia="Poppins" w:hAnsi="Poppins"/>
          <w:b/>
          <w:bCs/>
          <w:color w:val="1B3C6E"/>
          <w:sz w:val="23"/>
          <w:szCs w:val="23"/>
        </w:rPr>
        <w:t xml:space="preserve">2.2 The amber audit — and the anchor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Amber appears three times: the header CTA, the hero anchor button, and the form’s submit. The conversion band at block 9 uses a secondary treatment rather than a fourth amber, because by that point the form is directly above it and a second competing primary would be noise.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HEADER CTA IS WRONG ON THIS PAGE BY DEFAULT</w:t>
            </w:r>
          </w:p>
          <w:p>
            <w:pPr>
              <w:spacing w:after="0" w:line="258"/>
            </w:pPr>
            <w:r>
              <w:rPr>
                <w:rFonts w:ascii="Arial" w:cs="Arial" w:eastAsia="Arial" w:hAnsi="Arial"/>
                <w:b/>
                <w:bCs/>
                <w:i w:val="false"/>
                <w:iCs w:val="false"/>
                <w:caps w:val="false"/>
                <w:color w:val="2B3646"/>
                <w:sz w:val="18"/>
                <w:szCs w:val="18"/>
              </w:rPr>
              <w:t xml:space="preserve">The site-wide header carries “Schedule Pickup,” which points at Cents. </w:t>
            </w:r>
            <w:r>
              <w:rPr>
                <w:rFonts w:ascii="Arial" w:cs="Arial" w:eastAsia="Arial" w:hAnsi="Arial"/>
                <w:b w:val="false"/>
                <w:bCs w:val="false"/>
                <w:i w:val="false"/>
                <w:iCs w:val="false"/>
                <w:caps w:val="false"/>
                <w:color w:val="2B3646"/>
                <w:sz w:val="18"/>
                <w:szCs w:val="18"/>
              </w:rPr>
              <w:t xml:space="preserve">A business owner on this page cannot self-serve a commercial account through Cents, so on this page the header CTA either relabels to “Request a quote” and anchors to block 7, or the page accepts that the header sends commercial traffic to a residential booking flow. The first is correct. This is a per-page header exception and it is the only one on the site — flag it explicitly in the wireframe annotation.</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4328"/>
        <w:gridCol w:w="3019"/>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Viewport</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Worst-case amber visible</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Verdict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1400 × 900</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 hero anchor = 2</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Pass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900 × 800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 form submit = 2</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Pass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375 / 320</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 + form submit = 2</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Pass — verify at QA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On mobile the sticky bar’s primary should also relabel on this page — “Request a quote” scrolling to block 7 rather than opening Cents — for the same reason as the header.</w:t>
      </w:r>
    </w:p>
    <w:p>
      <w:pPr>
        <w:keepNext/>
        <w:pBdr>
          <w:bottom w:val="single" w:color="E8751A" w:sz="14" w:space="8"/>
        </w:pBdr>
        <w:spacing w:after="150" w:before="300" w:line="300"/>
      </w:pPr>
      <w:r>
        <w:rPr>
          <w:rFonts w:ascii="Poppins" w:cs="Poppins" w:eastAsia="Poppins" w:hAnsi="Poppins"/>
          <w:b/>
          <w:bCs/>
          <w:color w:val="1B3C6E"/>
          <w:sz w:val="30"/>
          <w:szCs w:val="30"/>
        </w:rPr>
        <w:t xml:space="preserve">3. Block-by-Block Craft Spec</w:t>
      </w:r>
    </w:p>
    <w:p>
      <w:pPr>
        <w:keepNext/>
        <w:spacing w:after="110" w:before="260" w:line="288"/>
      </w:pPr>
      <w:r>
        <w:rPr>
          <w:rFonts w:ascii="Poppins" w:cs="Poppins" w:eastAsia="Poppins" w:hAnsi="Poppins"/>
          <w:b/>
          <w:bCs/>
          <w:color w:val="1B3C6E"/>
          <w:sz w:val="23"/>
          <w:szCs w:val="23"/>
        </w:rPr>
        <w:t xml:space="preserve">3.1 Hero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 --sp-8 vertical</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step, Archivo 700, --text-1</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 step, --text-2, 56ch — longer than other pages, four clauses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label “Request a quote,” anchors to #quote with smooth scroll</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Outline, “Call {{PHONE}}”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variant B</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anchor uses scroll-behavior: smooth, disabled under prefers-reduced-motion, and moves focus to the form’s first field so keyboard and screen-reader users land where sighted users do.</w:t>
      </w:r>
    </w:p>
    <w:p>
      <w:pPr>
        <w:keepNext/>
        <w:spacing w:after="110" w:before="260" w:line="288"/>
      </w:pPr>
      <w:r>
        <w:rPr>
          <w:rFonts w:ascii="Poppins" w:cs="Poppins" w:eastAsia="Poppins" w:hAnsi="Poppins"/>
          <w:b/>
          <w:bCs/>
          <w:color w:val="1B3C6E"/>
          <w:sz w:val="23"/>
          <w:szCs w:val="23"/>
        </w:rPr>
        <w:t xml:space="preserve">3.2 The segment grid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 desktop → 2×3 at 900 → single column below 600</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card component; 24px line icon; H3 title in --brand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lines: what they send, then the pain — --text-2</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Interaction</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None — these cards do not link anywhere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Height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Equal across the row; content decides, never fixed</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THESE CARDS ARE NOT LINKS</w:t>
            </w:r>
          </w:p>
          <w:p>
            <w:pPr>
              <w:spacing w:after="0" w:line="258"/>
            </w:pPr>
            <w:r>
              <w:rPr>
                <w:rFonts w:ascii="Arial" w:cs="Arial" w:eastAsia="Arial" w:hAnsi="Arial"/>
                <w:b/>
                <w:bCs/>
                <w:i w:val="false"/>
                <w:iCs w:val="false"/>
                <w:caps w:val="false"/>
                <w:color w:val="2B3646"/>
                <w:sz w:val="18"/>
                <w:szCs w:val="18"/>
              </w:rPr>
              <w:t xml:space="preserve">Every other card grid on this site routes somewhere. These do not, because there are no segment pages and inventing six would be thin, near-duplicate content. </w:t>
            </w:r>
            <w:r>
              <w:rPr>
                <w:rFonts w:ascii="Arial" w:cs="Arial" w:eastAsia="Arial" w:hAnsi="Arial"/>
                <w:b w:val="false"/>
                <w:bCs w:val="false"/>
                <w:i w:val="false"/>
                <w:iCs w:val="false"/>
                <w:caps w:val="false"/>
                <w:color w:val="2B3646"/>
                <w:sz w:val="18"/>
                <w:szCs w:val="18"/>
              </w:rPr>
              <w:t xml:space="preserve">That makes them the one non-interactive card on the site, so they must not carry hover lift, a chevron, or an arrow — any affordance that implies a click and delivers nothing is worse than a plain panel. Drop the hover state entirely for this grid.</w:t>
            </w:r>
          </w:p>
        </w:tc>
      </w:tr>
    </w:tbl>
    <w:p>
      <w:pPr>
        <w:keepNext/>
        <w:spacing w:after="110" w:before="260" w:line="288"/>
      </w:pPr>
      <w:r>
        <w:rPr>
          <w:rFonts w:ascii="Poppins" w:cs="Poppins" w:eastAsia="Poppins" w:hAnsi="Poppins"/>
          <w:b/>
          <w:bCs/>
          <w:color w:val="1B3C6E"/>
          <w:sz w:val="23"/>
          <w:szCs w:val="23"/>
        </w:rPr>
        <w:t xml:space="preserve">3.3 How an account works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four-step flow component again, third appearance on the site after the homepage and Pickup &amp; Delivery. Same numerals at 40px, same connectors, same collapse. Consistency across three pages is what turns a component into a pattern the visitor recognises.</w:t>
      </w:r>
    </w:p>
    <w:p>
      <w:pPr>
        <w:keepNext/>
        <w:spacing w:after="110" w:before="260" w:line="288"/>
      </w:pPr>
      <w:r>
        <w:rPr>
          <w:rFonts w:ascii="Poppins" w:cs="Poppins" w:eastAsia="Poppins" w:hAnsi="Poppins"/>
          <w:b/>
          <w:bCs/>
          <w:color w:val="1B3C6E"/>
          <w:sz w:val="23"/>
          <w:szCs w:val="23"/>
        </w:rPr>
        <w:t xml:space="preserve">3.4 What businesses get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items, two columns on desktop, single column below 900. 20px --brand-support line icons, bold lead phrase in --text-1, remainder --text-2. No card, no border — this is a list, and giving it card treatment would compete with the segment grid two blocks above.</w:t>
      </w:r>
    </w:p>
    <w:p>
      <w:pPr>
        <w:keepNext/>
        <w:spacing w:after="110" w:before="260" w:line="288"/>
      </w:pPr>
      <w:r>
        <w:rPr>
          <w:rFonts w:ascii="Poppins" w:cs="Poppins" w:eastAsia="Poppins" w:hAnsi="Poppins"/>
          <w:b/>
          <w:bCs/>
          <w:color w:val="1B3C6E"/>
          <w:sz w:val="23"/>
          <w:szCs w:val="23"/>
        </w:rPr>
        <w:t xml:space="preserve">3.5 Pricing as a process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Treatment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inset panel on --surface-2: --surface-1 fill, --r-lg, 1px --line, --sp-6 padding</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 step rather than body — this paragraph is doing persuasion work</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Measure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60ch, centred within the panel, text left-aligned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Emphasis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two contrasting examples set in --text-1; the rest --text-2</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Forbidden</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number, no table, no badge, no strikethrough, no percentage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inset is the one decorative move on the page, and it earns its place: this block is where a sceptical reader decides whether “quoted per account” means honest or means evasive. Lifting it visually signals that the store is not hiding the answer, it is explaining it.</w:t>
      </w:r>
    </w:p>
    <w:p>
      <w:pPr>
        <w:keepNext/>
        <w:spacing w:after="110" w:before="260" w:line="288"/>
      </w:pPr>
      <w:r>
        <w:rPr>
          <w:rFonts w:ascii="Poppins" w:cs="Poppins" w:eastAsia="Poppins" w:hAnsi="Poppins"/>
          <w:b/>
          <w:bCs/>
          <w:color w:val="1B3C6E"/>
          <w:sz w:val="23"/>
          <w:szCs w:val="23"/>
        </w:rPr>
        <w:t xml:space="preserve">3.6 Reliability strip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Single centred line on --surface-3, H4 step, --sp-6 vertical. Identical treatment to the strip on Pickup &amp; Delivery — different words, same component, same position in the rhythm.</w:t>
      </w:r>
    </w:p>
    <w:p>
      <w:pPr>
        <w:keepNext/>
        <w:spacing w:after="110" w:before="260" w:line="288"/>
      </w:pPr>
      <w:r>
        <w:rPr>
          <w:rFonts w:ascii="Poppins" w:cs="Poppins" w:eastAsia="Poppins" w:hAnsi="Poppins"/>
          <w:b/>
          <w:bCs/>
          <w:color w:val="1B3C6E"/>
          <w:sz w:val="23"/>
          <w:szCs w:val="23"/>
        </w:rPr>
        <w:t xml:space="preserve">3.7 The quote form — the visual anchor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Container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id="quote"; --surface-1 band; form in a --r-lg panel, 1px --line, --sp-6 padding</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Width</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Max 720px, centred — narrower than the content container</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Fields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 fields per Developer Guide §7.7; label above every field, always visible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Field styling</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48px min height, --r-sm, 1.5px --line-control border (correction C3)</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Grid</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desktop for the short fields; single column below 600</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Selects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select elements — no custom dropdown; mobile keyboards and a11y both win</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Submit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primary, full width of the panel, label “Request a quote”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Response note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step, --text-mute, directly beneath submit — the one-business-day commitment</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Error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--err border, --err-text message with a 16px icon, announced to screen readers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Success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Replaces the form in place; never a redirect to a thank-you page that loses context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FORM IS WHERE THE C3 CORRECTION FINALLY MATTERS</w:t>
            </w:r>
          </w:p>
          <w:p>
            <w:pPr>
              <w:spacing w:after="0" w:line="258"/>
            </w:pPr>
            <w:r>
              <w:rPr>
                <w:rFonts w:ascii="Arial" w:cs="Arial" w:eastAsia="Arial" w:hAnsi="Arial"/>
                <w:b/>
                <w:bCs/>
                <w:i w:val="false"/>
                <w:iCs w:val="false"/>
                <w:caps w:val="false"/>
                <w:color w:val="2B3646"/>
                <w:sz w:val="18"/>
                <w:szCs w:val="18"/>
              </w:rPr>
              <w:t xml:space="preserve">This is the first page with real inputs, so it is the first page where --line-control does visible work. </w:t>
            </w:r>
            <w:r>
              <w:rPr>
                <w:rFonts w:ascii="Arial" w:cs="Arial" w:eastAsia="Arial" w:hAnsi="Arial"/>
                <w:b w:val="false"/>
                <w:bCs w:val="false"/>
                <w:i w:val="false"/>
                <w:iCs w:val="false"/>
                <w:caps w:val="false"/>
                <w:color w:val="2B3646"/>
                <w:sz w:val="18"/>
                <w:szCs w:val="18"/>
              </w:rPr>
              <w:t xml:space="preserve">Input borders at --n-200 would have measured 1.37:1 and failed the 3:1 minimum for interactive boundaries. Using --line-control (--n-600, 5.61:1) is not optional here — it is the difference between a form that is legally accessible and one that is not.</w:t>
            </w:r>
          </w:p>
        </w:tc>
      </w:tr>
    </w:tbl>
    <w:p>
      <w:pPr>
        <w:keepNext/>
        <w:spacing w:after="110" w:before="260" w:line="288"/>
      </w:pPr>
      <w:r>
        <w:rPr>
          <w:rFonts w:ascii="Poppins" w:cs="Poppins" w:eastAsia="Poppins" w:hAnsi="Poppins"/>
          <w:b/>
          <w:bCs/>
          <w:color w:val="1B3C6E"/>
          <w:sz w:val="23"/>
          <w:szCs w:val="23"/>
        </w:rPr>
        <w:t xml:space="preserve">3.8 FAQ, conversion and related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FAQ is the standard accordion on --surface-2, six rows, all closed. The conversion band on --surface-3 carries a secondary-styled “Request a quote” that scrolls back up to the form, plus Call and Directions as text links — no amber, because the form’s submit is the amber on this half of the page. Related services are two standard cards, and these ones do link.</w:t>
      </w:r>
    </w:p>
    <w:p>
      <w:pPr>
        <w:keepNext/>
        <w:pBdr>
          <w:bottom w:val="single" w:color="E8751A" w:sz="14" w:space="8"/>
        </w:pBdr>
        <w:spacing w:after="150" w:before="300" w:line="300"/>
      </w:pPr>
      <w:r>
        <w:rPr>
          <w:rFonts w:ascii="Poppins" w:cs="Poppins" w:eastAsia="Poppins" w:hAnsi="Poppins"/>
          <w:b/>
          <w:bCs/>
          <w:color w:val="1B3C6E"/>
          <w:sz w:val="30"/>
          <w:szCs w:val="30"/>
        </w:rPr>
        <w:t xml:space="preserve">4. Rendering Provisional Values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Developer Guide introduces three value tiers (§2 of that document). Two of them are visible in a wireframe and need a drawn treatment.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3321"/>
        <w:gridCol w:w="1912"/>
        <w:gridCol w:w="2617"/>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3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Wireframe treatment</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Staging treatment</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Production</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Renders normally</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Renders normally</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Ships</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3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Value shown, dashed --a-600 underline, small “P” marker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Build fails</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3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Dashed amber SWAP token showing the token name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Build fails</w:t>
            </w:r>
          </w:p>
        </w:tc>
      </w:tr>
    </w:tbl>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.provisional {</w:t>
            </w:r>
          </w:p>
          <w:p>
            <w:pPr>
              <w:spacing w:after="0" w:line="236"/>
            </w:pPr>
            <w:r>
              <w:rPr>
                <w:rFonts w:ascii="Consolas" w:cs="Consolas" w:eastAsia="Consolas" w:hAnsi="Consolas"/>
                <w:color w:val="10233F"/>
                <w:sz w:val="16"/>
                <w:szCs w:val="16"/>
              </w:rPr>
              <w:t xml:space="preserve">  border-bottom: 1.5px dashed var(--a-600);</w:t>
            </w:r>
          </w:p>
          <w:p>
            <w:pPr>
              <w:spacing w:after="0" w:line="236"/>
            </w:pPr>
            <w:r>
              <w:rPr>
                <w:rFonts w:ascii="Consolas" w:cs="Consolas" w:eastAsia="Consolas" w:hAnsi="Consolas"/>
                <w:color w:val="10233F"/>
                <w:sz w:val="16"/>
                <w:szCs w:val="16"/>
              </w:rPr>
              <w:t xml:space="preserve">  cursor: help;</w:t>
            </w:r>
          </w:p>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.provisional::after {</w:t>
            </w:r>
          </w:p>
          <w:p>
            <w:pPr>
              <w:spacing w:after="0" w:line="236"/>
            </w:pPr>
            <w:r>
              <w:rPr>
                <w:rFonts w:ascii="Consolas" w:cs="Consolas" w:eastAsia="Consolas" w:hAnsi="Consolas"/>
                <w:color w:val="10233F"/>
                <w:sz w:val="16"/>
                <w:szCs w:val="16"/>
              </w:rPr>
              <w:t xml:space="preserve">  content: "P";</w:t>
            </w:r>
          </w:p>
          <w:p>
            <w:pPr>
              <w:spacing w:after="0" w:line="236"/>
            </w:pPr>
            <w:r>
              <w:rPr>
                <w:rFonts w:ascii="Consolas" w:cs="Consolas" w:eastAsia="Consolas" w:hAnsi="Consolas"/>
                <w:color w:val="10233F"/>
                <w:sz w:val="16"/>
                <w:szCs w:val="16"/>
              </w:rPr>
              <w:t xml:space="preserve">  font-size: 0.7em;</w:t>
            </w:r>
          </w:p>
          <w:p>
            <w:pPr>
              <w:spacing w:after="0" w:line="236"/>
            </w:pPr>
            <w:r>
              <w:rPr>
                <w:rFonts w:ascii="Consolas" w:cs="Consolas" w:eastAsia="Consolas" w:hAnsi="Consolas"/>
                <w:color w:val="10233F"/>
                <w:sz w:val="16"/>
                <w:szCs w:val="16"/>
              </w:rPr>
              <w:t xml:space="preserve">  vertical-align: super;</w:t>
            </w:r>
          </w:p>
          <w:p>
            <w:pPr>
              <w:spacing w:after="0" w:line="236"/>
            </w:pPr>
            <w:r>
              <w:rPr>
                <w:rFonts w:ascii="Consolas" w:cs="Consolas" w:eastAsia="Consolas" w:hAnsi="Consolas"/>
                <w:color w:val="10233F"/>
                <w:sz w:val="16"/>
                <w:szCs w:val="16"/>
              </w:rPr>
              <w:t xml:space="preserve">  color: var(--a-800);   /* accent TEXT uses a-800, never a-500 */</w:t>
            </w:r>
          </w:p>
          <w:p>
            <w:pPr>
              <w:spacing w:after="0" w:line="236"/>
            </w:pPr>
            <w:r>
              <w:rPr>
                <w:rFonts w:ascii="Consolas" w:cs="Consolas" w:eastAsia="Consolas" w:hAnsi="Consolas"/>
                <w:color w:val="10233F"/>
                <w:sz w:val="16"/>
                <w:szCs w:val="16"/>
              </w:rPr>
              <w:t xml:space="preserve">  margin-left: 2px;</w:t>
            </w:r>
          </w:p>
          <w:p>
            <w:pPr>
              <w:spacing w:after="0" w:line="236"/>
            </w:pPr>
            <w:r>
              <w:rPr>
                <w:rFonts w:ascii="Consolas" w:cs="Consolas" w:eastAsia="Consolas" w:hAnsi="Consolas"/>
                <w:color w:val="10233F"/>
                <w:sz w:val="16"/>
                <w:szCs w:val="16"/>
              </w:rPr>
              <w:t xml:space="preserve">}</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PROVISIONAL LOOKS DIFFERENT FROM BLOCKED</w:t>
            </w:r>
          </w:p>
          <w:p>
            <w:pPr>
              <w:spacing w:after="0" w:line="258"/>
            </w:pPr>
            <w:r>
              <w:rPr>
                <w:rFonts w:ascii="Arial" w:cs="Arial" w:eastAsia="Arial" w:hAnsi="Arial"/>
                <w:b/>
                <w:bCs/>
                <w:i w:val="false"/>
                <w:iCs w:val="false"/>
                <w:caps w:val="false"/>
                <w:color w:val="2B3646"/>
                <w:sz w:val="18"/>
                <w:szCs w:val="18"/>
              </w:rPr>
              <w:t xml:space="preserve">A SWAP token shows a gap; a provisional value shows a proposal. </w:t>
            </w:r>
            <w:r>
              <w:rPr>
                <w:rFonts w:ascii="Arial" w:cs="Arial" w:eastAsia="Arial" w:hAnsi="Arial"/>
                <w:b w:val="false"/>
                <w:bCs w:val="false"/>
                <w:i w:val="false"/>
                <w:iCs w:val="false"/>
                <w:caps w:val="false"/>
                <w:color w:val="2B3646"/>
                <w:sz w:val="18"/>
                <w:szCs w:val="18"/>
              </w:rPr>
              <w:t xml:space="preserve">The owner reviewing a wireframe should be able to see the difference instantly — a gap says “we need this from you,” a dashed value says “we assumed this; correct us if we are wrong.” The second is a much easier question to answer, and answering it is the whole point of the convention.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2315"/>
        <w:gridCol w:w="2114"/>
        <w:gridCol w:w="2817"/>
      </w:tblGrid>
      <w:tr>
        <w:trPr>
          <w:cantSplit/>
          <w:tblHeader/>
        </w:trPr>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8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inline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inline</w:t>
            </w:r>
          </w:p>
        </w:tc>
        <w:tc>
          <w:tcPr>
            <w:tcW w:type="dxa" w:w="28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full width</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 grid</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 2</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 3</w:t>
            </w:r>
          </w:p>
        </w:tc>
        <w:tc>
          <w:tcPr>
            <w:tcW w:type="dxa" w:w="28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Account steps</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across</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 2</w:t>
            </w:r>
          </w:p>
        </w:tc>
        <w:tc>
          <w:tcPr>
            <w:tcW w:type="dxa" w:w="28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Vertical, no connectors</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businesses get</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w:t>
            </w:r>
          </w:p>
        </w:tc>
        <w:tc>
          <w:tcPr>
            <w:tcW w:type="dxa" w:w="28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panel</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Inset, 60ch</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Inset, full width</w:t>
            </w:r>
          </w:p>
        </w:tc>
        <w:tc>
          <w:tcPr>
            <w:tcW w:type="dxa" w:w="28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Inset, --sp-4 padding</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 form</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Two-column short fields</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Two-column</w:t>
            </w:r>
          </w:p>
        </w:tc>
        <w:tc>
          <w:tcPr>
            <w:tcW w:type="dxa" w:w="28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 48px fields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width</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8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44px+ rows</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8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relabelled to Request a quote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FORM AT 320 IN SPANISH</w:t>
            </w:r>
          </w:p>
          <w:p>
            <w:pPr>
              <w:spacing w:after="0" w:line="258"/>
            </w:pPr>
            <w:r>
              <w:rPr>
                <w:rFonts w:ascii="Arial" w:cs="Arial" w:eastAsia="Arial" w:hAnsi="Arial"/>
                <w:b w:val="false"/>
                <w:bCs w:val="false"/>
                <w:i w:val="false"/>
                <w:iCs w:val="false"/>
                <w:caps w:val="false"/>
                <w:color w:val="2B3646"/>
                <w:sz w:val="18"/>
                <w:szCs w:val="18"/>
              </w:rPr>
              <w:t xml:space="preserve">Select option labels are the risk: “Unas cuantas veces por semana” against “A few times a week.” Native selects truncate their own options gracefully, which is a further argument for not building a custom dropdown. Verify at 320 in Spanish regardless.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H1 answer-first,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B; anchor CTA rather than Schedule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Nine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1-2-1-2-1-2-3-1-2-3-1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primary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on page; audit in §2.2</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 the "P" marker uses --a-800</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Applies in blocks 1, 3, 5, 8, 9</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Critical here — first page with inputs (§3.7)</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panel uses Lede step deliberately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off-scale values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 used for the first time, unmodified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tables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images on 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rate, no percentage, no rating</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 and selects verified in Spanish</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Commercial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Commercial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Commercial Design Guide v1.0</dc:title>
  <dc:creator>TradeWorks AI</dc:creator>
  <dc:description>Laundry Station — Website Content Strategy &amp; Plan v1.0</dc:description>
  <cp:lastModifiedBy>Un-named</cp:lastModifiedBy>
  <cp:revision>1</cp:revision>
  <dcterms:created xsi:type="dcterms:W3CDTF">2026-07-29T16:44:29.763Z</dcterms:created>
  <dcterms:modified xsi:type="dcterms:W3CDTF">2026-07-29T16:44:29.763Z</dcterms:modified>
</cp:coreProperties>
</file>

<file path=docProps/custom.xml><?xml version="1.0" encoding="utf-8"?>
<Properties xmlns="http://schemas.openxmlformats.org/officeDocument/2006/custom-properties" xmlns:vt="http://schemas.openxmlformats.org/officeDocument/2006/docPropsVTypes"/>
</file>