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/>
      </w:pPr>
    </w:p>
    <w:p>
      <w:pPr>
        <w:spacing w:after="160"/>
      </w:pPr>
      <w:r>
        <w:rPr>
          <w:rFonts w:ascii="Poppins" w:cs="Poppins" w:eastAsia="Poppins" w:hAnsi="Poppins"/>
          <w:b/>
          <w:bCs/>
          <w:caps/>
          <w:color w:val="2E86AB"/>
          <w:sz w:val="18"/>
          <w:szCs w:val="18"/>
        </w:rPr>
        <w:t xml:space="preserve">TradeWorks AI · Digital Marketing Arm · Client Engagement</w:t>
      </w:r>
    </w:p>
    <w:p>
      <w:pPr>
        <w:spacing w:after="40" w:line="340"/>
      </w:pPr>
      <w:r>
        <w:rPr>
          <w:rFonts w:ascii="Poppins" w:cs="Poppins" w:eastAsia="Poppins" w:hAnsi="Poppins"/>
          <w:b/>
          <w:bCs/>
          <w:color w:val="1B3C6E"/>
          <w:sz w:val="50"/>
          <w:szCs w:val="50"/>
        </w:rPr>
        <w:t xml:space="preserve">Commercial</w:t>
      </w:r>
    </w:p>
    <w:p>
      <w:pPr>
        <w:spacing w:after="40" w:line="340"/>
      </w:pPr>
      <w:r>
        <w:rPr>
          <w:rFonts w:ascii="Poppins" w:cs="Poppins" w:eastAsia="Poppins" w:hAnsi="Poppins"/>
          <w:b/>
          <w:bCs/>
          <w:color w:val="1B3C6E"/>
          <w:sz w:val="50"/>
          <w:szCs w:val="50"/>
        </w:rPr>
        <w:t xml:space="preserve">Spanish Restatement Guide</w:t>
      </w:r>
    </w:p>
    <w:p>
      <w:pPr>
        <w:pBdr>
          <w:bottom w:val="single" w:color="E8751A" w:sz="18" w:space="10"/>
        </w:pBdr>
        <w:spacing w:after="40" w:before="60"/>
      </w:pPr>
    </w:p>
    <w:p>
      <w:pPr>
        <w:spacing w:after="60" w:before="180" w:line="300"/>
      </w:pPr>
      <w:r>
        <w:rPr>
          <w:rFonts w:ascii="Poppins" w:cs="Poppins" w:eastAsia="Poppins" w:hAnsi="Poppins"/>
          <w:color w:val="2B3646"/>
          <w:sz w:val="24"/>
          <w:szCs w:val="24"/>
        </w:rPr>
        <w:t xml:space="preserve">The /es/ commercial page authored in Spanish — business register, not consumer register.</w:t>
      </w:r>
    </w:p>
    <w:p>
      <w:pPr>
        <w:spacing w:after="60" w:line="288"/>
      </w:pPr>
      <w:r>
        <w:rPr>
          <w:rFonts w:ascii="Arial" w:cs="Arial" w:eastAsia="Arial" w:hAnsi="Arial"/>
          <w:color w:val="6A7686"/>
          <w:sz w:val="20"/>
          <w:szCs w:val="20"/>
        </w:rPr>
        <w:t xml:space="preserve">/es/servicios/comercial/  ·  Laundry Station, Chicago 60634</w:t>
      </w:r>
    </w:p>
    <w:p>
      <w:pPr>
        <w:spacing w:after="32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D5DCE6" w:sz="3"/>
          <w:insideV w:val="none"/>
        </w:tblBorders>
        <w:tblLayout w:type="fixed"/>
      </w:tblPr>
      <w:tblGrid>
        <w:gridCol w:w="2434"/>
        <w:gridCol w:w="6926"/>
      </w:tblGrid>
      <w:tr>
        <w:tc>
          <w:tcPr>
            <w:tcW w:type="dxa" w:w="2434"/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B3C6E"/>
                <w:sz w:val="18"/>
                <w:szCs w:val="18"/>
              </w:rPr>
              <w:t xml:space="preserve">Version</w:t>
            </w:r>
          </w:p>
        </w:tc>
        <w:tc>
          <w:tcPr>
            <w:tcW w:type="dxa" w:w="6926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2B3646"/>
                <w:sz w:val="18"/>
                <w:szCs w:val="18"/>
              </w:rPr>
              <w:t xml:space="preserve">1.0  ·  July 2026</w:t>
            </w:r>
          </w:p>
        </w:tc>
      </w:tr>
      <w:tr>
        <w:tc>
          <w:tcPr>
            <w:tcW w:type="dxa" w:w="2434"/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B3C6E"/>
                <w:sz w:val="18"/>
                <w:szCs w:val="18"/>
              </w:rPr>
              <w:t xml:space="preserve">Page</w:t>
            </w:r>
          </w:p>
        </w:tc>
        <w:tc>
          <w:tcPr>
            <w:tcW w:type="dxa" w:w="6926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2B3646"/>
                <w:sz w:val="18"/>
                <w:szCs w:val="18"/>
              </w:rPr>
              <w:t xml:space="preserve">/es/servicios/comercial/ — mirror of /services/commercial/</w:t>
            </w:r>
          </w:p>
        </w:tc>
      </w:tr>
      <w:tr>
        <w:tc>
          <w:tcPr>
            <w:tcW w:type="dxa" w:w="2434"/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B3C6E"/>
                <w:sz w:val="18"/>
                <w:szCs w:val="18"/>
              </w:rPr>
              <w:t xml:space="preserve">Standard</w:t>
            </w:r>
          </w:p>
        </w:tc>
        <w:tc>
          <w:tcPr>
            <w:tcW w:type="dxa" w:w="6926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2B3646"/>
                <w:sz w:val="18"/>
                <w:szCs w:val="18"/>
              </w:rPr>
              <w:t xml:space="preserve">Content Strategy v1.1 §7.2 — nine points answered in §2</w:t>
            </w:r>
          </w:p>
        </w:tc>
      </w:tr>
      <w:tr>
        <w:tc>
          <w:tcPr>
            <w:tcW w:type="dxa" w:w="2434"/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B3C6E"/>
                <w:sz w:val="18"/>
                <w:szCs w:val="18"/>
              </w:rPr>
              <w:t xml:space="preserve">Distinct challenge</w:t>
            </w:r>
          </w:p>
        </w:tc>
        <w:tc>
          <w:tcPr>
            <w:tcW w:type="dxa" w:w="6926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2B3646"/>
                <w:sz w:val="18"/>
                <w:szCs w:val="18"/>
              </w:rPr>
              <w:t xml:space="preserve">This is the only page addressed to a business owner rather than a household — the register changes</w:t>
            </w:r>
          </w:p>
        </w:tc>
      </w:tr>
      <w:tr>
        <w:tc>
          <w:tcPr>
            <w:tcW w:type="dxa" w:w="2434"/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B3C6E"/>
                <w:sz w:val="18"/>
                <w:szCs w:val="18"/>
              </w:rPr>
              <w:t xml:space="preserve">Paired with</w:t>
            </w:r>
          </w:p>
        </w:tc>
        <w:tc>
          <w:tcPr>
            <w:tcW w:type="dxa" w:w="6926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2B3646"/>
                <w:sz w:val="18"/>
                <w:szCs w:val="18"/>
              </w:rPr>
              <w:t xml:space="preserve">Commercial Developer Guide v1.0 · Commercial Design Guide v1.0</w:t>
            </w:r>
          </w:p>
        </w:tc>
      </w:tr>
      <w:tr>
        <w:tc>
          <w:tcPr>
            <w:tcW w:type="dxa" w:w="2434"/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B3C6E"/>
                <w:sz w:val="18"/>
                <w:szCs w:val="18"/>
              </w:rPr>
              <w:t xml:space="preserve">Sign-off</w:t>
            </w:r>
          </w:p>
        </w:tc>
        <w:tc>
          <w:tcPr>
            <w:tcW w:type="dxa" w:w="6926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2B3646"/>
                <w:sz w:val="18"/>
                <w:szCs w:val="18"/>
              </w:rPr>
              <w:t xml:space="preserve">Native-speaker review required before launch (§8)</w:t>
            </w:r>
          </w:p>
        </w:tc>
      </w:tr>
    </w:tbl>
    <w:p>
      <w:r>
        <w:br w:type="page"/>
      </w:r>
    </w:p>
    <w:p>
      <w:pPr>
        <w:keepNext/>
        <w:pBdr>
          <w:bottom w:val="single" w:color="E8751A" w:sz="14" w:space="8"/>
        </w:pBdr>
        <w:spacing w:after="150" w:before="300" w:line="300"/>
      </w:pPr>
      <w:r>
        <w:rPr>
          <w:rFonts w:ascii="Poppins" w:cs="Poppins" w:eastAsia="Poppins" w:hAnsi="Poppins"/>
          <w:b/>
          <w:bCs/>
          <w:color w:val="1B3C6E"/>
          <w:sz w:val="30"/>
          <w:szCs w:val="30"/>
        </w:rPr>
        <w:t xml:space="preserve">Contents</w:t>
      </w:r>
    </w:p>
    <w:p>
      <w:pPr>
        <w:tabs>
          <w:tab w:val="right" w:pos="9360" w:leader="dot"/>
        </w:tabs>
        <w:spacing w:after="40" w:line="258"/>
      </w:pPr>
      <w:r>
        <w:rPr>
          <w:rFonts w:ascii="Poppins" w:cs="Poppins" w:eastAsia="Poppins" w:hAnsi="Poppins"/>
          <w:b/>
          <w:bCs/>
          <w:color w:val="1B3C6E"/>
          <w:sz w:val="19"/>
          <w:szCs w:val="19"/>
        </w:rPr>
        <w:t xml:space="preserve">1. The B2B Register in Spanish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/>
          <w:bCs/>
          <w:color w:val="1B3C6E"/>
          <w:sz w:val="17"/>
          <w:szCs w:val="17"/>
        </w:rPr>
        <w:t xml:space="preserve">3</w:t>
      </w:r>
    </w:p>
    <w:p>
      <w:pPr>
        <w:tabs>
          <w:tab w:val="right" w:pos="9360" w:leader="dot"/>
        </w:tabs>
        <w:spacing w:after="40" w:line="258"/>
      </w:pPr>
      <w:r>
        <w:rPr>
          <w:rFonts w:ascii="Poppins" w:cs="Poppins" w:eastAsia="Poppins" w:hAnsi="Poppins"/>
          <w:b/>
          <w:bCs/>
          <w:color w:val="1B3C6E"/>
          <w:sz w:val="19"/>
          <w:szCs w:val="19"/>
        </w:rPr>
        <w:t xml:space="preserve">2. The Nine-Point Standard, Answered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/>
          <w:bCs/>
          <w:color w:val="1B3C6E"/>
          <w:sz w:val="17"/>
          <w:szCs w:val="17"/>
        </w:rPr>
        <w:t xml:space="preserve">3</w:t>
      </w:r>
    </w:p>
    <w:p>
      <w:pPr>
        <w:tabs>
          <w:tab w:val="right" w:pos="9360" w:leader="dot"/>
        </w:tabs>
        <w:spacing w:after="40" w:line="258"/>
      </w:pPr>
      <w:r>
        <w:rPr>
          <w:rFonts w:ascii="Poppins" w:cs="Poppins" w:eastAsia="Poppins" w:hAnsi="Poppins"/>
          <w:b/>
          <w:bCs/>
          <w:color w:val="1B3C6E"/>
          <w:sz w:val="19"/>
          <w:szCs w:val="19"/>
        </w:rPr>
        <w:t xml:space="preserve">3. Query Targets in Spanish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/>
          <w:bCs/>
          <w:color w:val="1B3C6E"/>
          <w:sz w:val="17"/>
          <w:szCs w:val="17"/>
        </w:rPr>
        <w:t xml:space="preserve">3</w:t>
      </w:r>
    </w:p>
    <w:p>
      <w:pPr>
        <w:tabs>
          <w:tab w:val="right" w:pos="9360" w:leader="dot"/>
        </w:tabs>
        <w:spacing w:after="40" w:line="258"/>
      </w:pPr>
      <w:r>
        <w:rPr>
          <w:rFonts w:ascii="Poppins" w:cs="Poppins" w:eastAsia="Poppins" w:hAnsi="Poppins"/>
          <w:b/>
          <w:bCs/>
          <w:color w:val="1B3C6E"/>
          <w:sz w:val="19"/>
          <w:szCs w:val="19"/>
        </w:rPr>
        <w:t xml:space="preserve">4. The Page, Restated Block by Block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/>
          <w:bCs/>
          <w:color w:val="1B3C6E"/>
          <w:sz w:val="17"/>
          <w:szCs w:val="17"/>
        </w:rPr>
        <w:t xml:space="preserve">4</w:t>
      </w:r>
    </w:p>
    <w:p>
      <w:pPr>
        <w:tabs>
          <w:tab w:val="right" w:pos="9360" w:leader="dot"/>
        </w:tabs>
        <w:spacing w:after="20" w:line="258"/>
        <w:ind w:left="300"/>
      </w:pPr>
      <w:r>
        <w:rPr>
          <w:rFonts w:ascii="Arial" w:cs="Arial" w:eastAsia="Arial" w:hAnsi="Arial"/>
          <w:b w:val="false"/>
          <w:bCs w:val="false"/>
          <w:color w:val="2B3646"/>
          <w:sz w:val="17"/>
          <w:szCs w:val="17"/>
        </w:rPr>
        <w:t xml:space="preserve">4.1 Hero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color w:val="6A7686"/>
          <w:sz w:val="17"/>
          <w:szCs w:val="17"/>
        </w:rPr>
        <w:t xml:space="preserve">4</w:t>
      </w:r>
    </w:p>
    <w:p>
      <w:pPr>
        <w:tabs>
          <w:tab w:val="right" w:pos="9360" w:leader="dot"/>
        </w:tabs>
        <w:spacing w:after="20" w:line="258"/>
        <w:ind w:left="300"/>
      </w:pPr>
      <w:r>
        <w:rPr>
          <w:rFonts w:ascii="Arial" w:cs="Arial" w:eastAsia="Arial" w:hAnsi="Arial"/>
          <w:b w:val="false"/>
          <w:bCs w:val="false"/>
          <w:color w:val="2B3646"/>
          <w:sz w:val="17"/>
          <w:szCs w:val="17"/>
        </w:rPr>
        <w:t xml:space="preserve">4.2 Who it’s for — the six segments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color w:val="6A7686"/>
          <w:sz w:val="17"/>
          <w:szCs w:val="17"/>
        </w:rPr>
        <w:t xml:space="preserve">4</w:t>
      </w:r>
    </w:p>
    <w:p>
      <w:pPr>
        <w:tabs>
          <w:tab w:val="right" w:pos="9360" w:leader="dot"/>
        </w:tabs>
        <w:spacing w:after="20" w:line="258"/>
        <w:ind w:left="300"/>
      </w:pPr>
      <w:r>
        <w:rPr>
          <w:rFonts w:ascii="Arial" w:cs="Arial" w:eastAsia="Arial" w:hAnsi="Arial"/>
          <w:b w:val="false"/>
          <w:bCs w:val="false"/>
          <w:color w:val="2B3646"/>
          <w:sz w:val="17"/>
          <w:szCs w:val="17"/>
        </w:rPr>
        <w:t xml:space="preserve">4.3 How an account works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color w:val="6A7686"/>
          <w:sz w:val="17"/>
          <w:szCs w:val="17"/>
        </w:rPr>
        <w:t xml:space="preserve">5</w:t>
      </w:r>
    </w:p>
    <w:p>
      <w:pPr>
        <w:tabs>
          <w:tab w:val="right" w:pos="9360" w:leader="dot"/>
        </w:tabs>
        <w:spacing w:after="20" w:line="258"/>
        <w:ind w:left="300"/>
      </w:pPr>
      <w:r>
        <w:rPr>
          <w:rFonts w:ascii="Arial" w:cs="Arial" w:eastAsia="Arial" w:hAnsi="Arial"/>
          <w:b w:val="false"/>
          <w:bCs w:val="false"/>
          <w:color w:val="2B3646"/>
          <w:sz w:val="17"/>
          <w:szCs w:val="17"/>
        </w:rPr>
        <w:t xml:space="preserve">4.4 What businesses get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color w:val="6A7686"/>
          <w:sz w:val="17"/>
          <w:szCs w:val="17"/>
        </w:rPr>
        <w:t xml:space="preserve">5</w:t>
      </w:r>
    </w:p>
    <w:p>
      <w:pPr>
        <w:tabs>
          <w:tab w:val="right" w:pos="9360" w:leader="dot"/>
        </w:tabs>
        <w:spacing w:after="20" w:line="258"/>
        <w:ind w:left="300"/>
      </w:pPr>
      <w:r>
        <w:rPr>
          <w:rFonts w:ascii="Arial" w:cs="Arial" w:eastAsia="Arial" w:hAnsi="Arial"/>
          <w:b w:val="false"/>
          <w:bCs w:val="false"/>
          <w:color w:val="2B3646"/>
          <w:sz w:val="17"/>
          <w:szCs w:val="17"/>
        </w:rPr>
        <w:t xml:space="preserve">4.5 Pricing as a process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color w:val="6A7686"/>
          <w:sz w:val="17"/>
          <w:szCs w:val="17"/>
        </w:rPr>
        <w:t xml:space="preserve">5</w:t>
      </w:r>
    </w:p>
    <w:p>
      <w:pPr>
        <w:tabs>
          <w:tab w:val="right" w:pos="9360" w:leader="dot"/>
        </w:tabs>
        <w:spacing w:after="20" w:line="258"/>
        <w:ind w:left="300"/>
      </w:pPr>
      <w:r>
        <w:rPr>
          <w:rFonts w:ascii="Arial" w:cs="Arial" w:eastAsia="Arial" w:hAnsi="Arial"/>
          <w:b w:val="false"/>
          <w:bCs w:val="false"/>
          <w:color w:val="2B3646"/>
          <w:sz w:val="17"/>
          <w:szCs w:val="17"/>
        </w:rPr>
        <w:t xml:space="preserve">4.6 The quote form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color w:val="6A7686"/>
          <w:sz w:val="17"/>
          <w:szCs w:val="17"/>
        </w:rPr>
        <w:t xml:space="preserve">5</w:t>
      </w:r>
    </w:p>
    <w:p>
      <w:pPr>
        <w:tabs>
          <w:tab w:val="right" w:pos="9360" w:leader="dot"/>
        </w:tabs>
        <w:spacing w:after="20" w:line="258"/>
        <w:ind w:left="300"/>
      </w:pPr>
      <w:r>
        <w:rPr>
          <w:rFonts w:ascii="Arial" w:cs="Arial" w:eastAsia="Arial" w:hAnsi="Arial"/>
          <w:b w:val="false"/>
          <w:bCs w:val="false"/>
          <w:color w:val="2B3646"/>
          <w:sz w:val="17"/>
          <w:szCs w:val="17"/>
        </w:rPr>
        <w:t xml:space="preserve">4.7 FAQ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color w:val="6A7686"/>
          <w:sz w:val="17"/>
          <w:szCs w:val="17"/>
        </w:rPr>
        <w:t xml:space="preserve">6</w:t>
      </w:r>
    </w:p>
    <w:p>
      <w:pPr>
        <w:tabs>
          <w:tab w:val="right" w:pos="9360" w:leader="dot"/>
        </w:tabs>
        <w:spacing w:after="40" w:line="258"/>
      </w:pPr>
      <w:r>
        <w:rPr>
          <w:rFonts w:ascii="Poppins" w:cs="Poppins" w:eastAsia="Poppins" w:hAnsi="Poppins"/>
          <w:b/>
          <w:bCs/>
          <w:color w:val="1B3C6E"/>
          <w:sz w:val="19"/>
          <w:szCs w:val="19"/>
        </w:rPr>
        <w:t xml:space="preserve">5. Head, Schema and Locale Wiring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/>
          <w:bCs/>
          <w:color w:val="1B3C6E"/>
          <w:sz w:val="17"/>
          <w:szCs w:val="17"/>
        </w:rPr>
        <w:t xml:space="preserve">6</w:t>
      </w:r>
    </w:p>
    <w:p>
      <w:pPr>
        <w:tabs>
          <w:tab w:val="right" w:pos="9360" w:leader="dot"/>
        </w:tabs>
        <w:spacing w:after="40" w:line="258"/>
      </w:pPr>
      <w:r>
        <w:rPr>
          <w:rFonts w:ascii="Poppins" w:cs="Poppins" w:eastAsia="Poppins" w:hAnsi="Poppins"/>
          <w:b/>
          <w:bCs/>
          <w:color w:val="1B3C6E"/>
          <w:sz w:val="19"/>
          <w:szCs w:val="19"/>
        </w:rPr>
        <w:t xml:space="preserve">6. Commercial Terminology Register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/>
          <w:bCs/>
          <w:color w:val="1B3C6E"/>
          <w:sz w:val="17"/>
          <w:szCs w:val="17"/>
        </w:rPr>
        <w:t xml:space="preserve">7</w:t>
      </w:r>
    </w:p>
    <w:p>
      <w:pPr>
        <w:tabs>
          <w:tab w:val="right" w:pos="9360" w:leader="dot"/>
        </w:tabs>
        <w:spacing w:after="40" w:line="258"/>
      </w:pPr>
      <w:r>
        <w:rPr>
          <w:rFonts w:ascii="Poppins" w:cs="Poppins" w:eastAsia="Poppins" w:hAnsi="Poppins"/>
          <w:b/>
          <w:bCs/>
          <w:color w:val="1B3C6E"/>
          <w:sz w:val="19"/>
          <w:szCs w:val="19"/>
        </w:rPr>
        <w:t xml:space="preserve">7. Layout Tolerance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/>
          <w:bCs/>
          <w:color w:val="1B3C6E"/>
          <w:sz w:val="17"/>
          <w:szCs w:val="17"/>
        </w:rPr>
        <w:t xml:space="preserve">7</w:t>
      </w:r>
    </w:p>
    <w:p>
      <w:pPr>
        <w:tabs>
          <w:tab w:val="right" w:pos="9360" w:leader="dot"/>
        </w:tabs>
        <w:spacing w:after="40" w:line="258"/>
      </w:pPr>
      <w:r>
        <w:rPr>
          <w:rFonts w:ascii="Poppins" w:cs="Poppins" w:eastAsia="Poppins" w:hAnsi="Poppins"/>
          <w:b/>
          <w:bCs/>
          <w:color w:val="1B3C6E"/>
          <w:sz w:val="19"/>
          <w:szCs w:val="19"/>
        </w:rPr>
        <w:t xml:space="preserve">8. Review &amp; Sign-off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/>
          <w:bCs/>
          <w:color w:val="1B3C6E"/>
          <w:sz w:val="17"/>
          <w:szCs w:val="17"/>
        </w:rPr>
        <w:t xml:space="preserve">8</w:t>
      </w:r>
    </w:p>
    <w:p>
      <w:r>
        <w:br w:type="page"/>
      </w:r>
    </w:p>
    <w:p>
      <w:pPr>
        <w:keepNext/>
        <w:pBdr>
          <w:bottom w:val="single" w:color="E8751A" w:sz="14" w:space="8"/>
        </w:pBdr>
        <w:spacing w:after="150" w:before="300" w:line="300"/>
      </w:pPr>
      <w:r>
        <w:rPr>
          <w:rFonts w:ascii="Poppins" w:cs="Poppins" w:eastAsia="Poppins" w:hAnsi="Poppins"/>
          <w:b/>
          <w:bCs/>
          <w:color w:val="1B3C6E"/>
          <w:sz w:val="30"/>
          <w:szCs w:val="30"/>
        </w:rPr>
        <w:t xml:space="preserve">1. The B2B Register in Spanish</w:t>
      </w:r>
    </w:p>
    <w:p>
      <w:pPr>
        <w:keepNext w:val="false"/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3C6E"/>
          <w:sz w:val="20"/>
          <w:szCs w:val="20"/>
        </w:rPr>
        <w:t xml:space="preserve">Every other Spanish page on this site speaks to a neighbour. This one speaks to a business owner.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That is a genuine register change in Spanish, and it is easy to get wrong in one of two directions: too informal and the page reads as unserious to someone deciding on a supplier; too formal and it reads as a corporate translation, which is exactly the impression this site cannot afford.</w:t>
      </w:r>
    </w:p>
    <w:tbl>
      <w:tblPr>
        <w:tblW w:type="dxa" w:w="9360"/>
        <w:tblBorders>
          <w:top w:val="single" w:color="D5DCE6" w:sz="4"/>
          <w:left w:val="single" w:color="D5DCE6" w:sz="4"/>
          <w:bottom w:val="single" w:color="D5DCE6" w:sz="4"/>
          <w:right w:val="single" w:color="D5DCE6" w:sz="4"/>
          <w:insideH w:val="single" w:color="D5DCE6" w:sz="4"/>
          <w:insideV w:val="single" w:color="D5DCE6" w:sz="4"/>
        </w:tblBorders>
        <w:tblLayout w:type="fixed"/>
      </w:tblPr>
      <w:tblGrid>
        <w:gridCol w:w="1711"/>
        <w:gridCol w:w="2617"/>
        <w:gridCol w:w="5032"/>
      </w:tblGrid>
      <w:tr>
        <w:trPr>
          <w:cantSplit/>
          <w:tblHeader/>
        </w:trPr>
        <w:tc>
          <w:tcPr>
            <w:tcW w:type="dxa" w:w="1711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2617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This page</w:t>
            </w:r>
          </w:p>
        </w:tc>
        <w:tc>
          <w:tcPr>
            <w:tcW w:type="dxa" w:w="5032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  <w:tblHeader w:val="false"/>
        </w:trPr>
        <w:tc>
          <w:tcPr>
            <w:tcW w:type="dxa" w:w="1711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tú or usted</w:t>
            </w:r>
          </w:p>
        </w:tc>
        <w:tc>
          <w:tcPr>
            <w:tcW w:type="dxa" w:w="2617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Usted</w:t>
            </w:r>
          </w:p>
        </w:tc>
        <w:tc>
          <w:tcPr>
            <w:tcW w:type="dxa" w:w="5032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The consumer pages use tú. A first approach to a business owner uses usted — it reads as respect, not distance</w:t>
            </w:r>
          </w:p>
        </w:tc>
      </w:tr>
      <w:tr>
        <w:trPr>
          <w:cantSplit/>
          <w:tblHeader w:val="false"/>
        </w:trPr>
        <w:tc>
          <w:tcPr>
            <w:tcW w:type="dxa" w:w="171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Sentence length</w:t>
            </w:r>
          </w:p>
        </w:tc>
        <w:tc>
          <w:tcPr>
            <w:tcW w:type="dxa" w:w="261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Slightly longer than the consumer pages</w:t>
            </w:r>
          </w:p>
        </w:tc>
        <w:tc>
          <w:tcPr>
            <w:tcW w:type="dxa" w:w="503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A business reader is evaluating, not skimming</w:t>
            </w:r>
          </w:p>
        </w:tc>
      </w:tr>
      <w:tr>
        <w:trPr>
          <w:cantSplit/>
          <w:tblHeader w:val="false"/>
        </w:trPr>
        <w:tc>
          <w:tcPr>
            <w:tcW w:type="dxa" w:w="1711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Vocabulary</w:t>
            </w:r>
          </w:p>
        </w:tc>
        <w:tc>
          <w:tcPr>
            <w:tcW w:type="dxa" w:w="2617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Plain, concrete — still no corporate abstractions</w:t>
            </w:r>
          </w:p>
        </w:tc>
        <w:tc>
          <w:tcPr>
            <w:tcW w:type="dxa" w:w="5032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No “soluciones integrales,” no “optimizar sus procesos”</w:t>
            </w:r>
          </w:p>
        </w:tc>
      </w:tr>
      <w:tr>
        <w:trPr>
          <w:cantSplit/>
          <w:tblHeader w:val="false"/>
        </w:trPr>
        <w:tc>
          <w:tcPr>
            <w:tcW w:type="dxa" w:w="171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Claims</w:t>
            </w:r>
          </w:p>
        </w:tc>
        <w:tc>
          <w:tcPr>
            <w:tcW w:type="dxa" w:w="261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Identical hedging to the English</w:t>
            </w:r>
          </w:p>
        </w:tc>
        <w:tc>
          <w:tcPr>
            <w:tcW w:type="dxa" w:w="503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A claim that gains confidence in translation is a defect</w:t>
            </w:r>
          </w:p>
        </w:tc>
      </w:tr>
    </w:tbl>
    <w:tbl>
      <w:tblPr>
        <w:tblW w:type="dxa" w:w="9360"/>
        <w:tblBorders>
          <w:top w:val="single" w:color="B3261E" w:sz="3"/>
          <w:left w:val="single" w:color="B3261E" w:sz="26"/>
          <w:bottom w:val="single" w:color="B3261E" w:sz="3"/>
          <w:right w:val="single" w:color="B3261E" w:sz="3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dxa" w:w="9360"/>
            <w:shd w:fill="FBEBEA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 w:line="258"/>
            </w:pPr>
            <w:r>
              <w:rPr>
                <w:rFonts w:ascii="Poppins" w:cs="Poppins" w:eastAsia="Poppins" w:hAnsi="Poppins"/>
                <w:b/>
                <w:bCs/>
                <w:color w:val="B3261E"/>
                <w:sz w:val="18"/>
                <w:szCs w:val="18"/>
              </w:rPr>
              <w:t xml:space="preserve">THE ONE INCONSISTENCY TO WATCH</w:t>
            </w:r>
          </w:p>
          <w:p>
            <w:pPr>
              <w:spacing w:after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The site uses tú everywhere else and usted here.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That is a deliberate register shift, not an error — but it must be complete. A page that mixes tú and usted within itself reads as careless in a way English cannot replicate. Every sentence, every form label, every button, every FAQ answer on this page uses usted.</w:t>
            </w:r>
          </w:p>
        </w:tc>
      </w:tr>
    </w:tbl>
    <w:p>
      <w:pPr>
        <w:keepNext/>
        <w:pBdr>
          <w:bottom w:val="single" w:color="E8751A" w:sz="14" w:space="8"/>
        </w:pBdr>
        <w:spacing w:after="150" w:before="300" w:line="300"/>
      </w:pPr>
      <w:r>
        <w:rPr>
          <w:rFonts w:ascii="Poppins" w:cs="Poppins" w:eastAsia="Poppins" w:hAnsi="Poppins"/>
          <w:b/>
          <w:bCs/>
          <w:color w:val="1B3C6E"/>
          <w:sz w:val="30"/>
          <w:szCs w:val="30"/>
        </w:rPr>
        <w:t xml:space="preserve">2. The Nine-Point Standard, Answered</w:t>
      </w:r>
    </w:p>
    <w:tbl>
      <w:tblPr>
        <w:tblW w:type="dxa" w:w="9360"/>
        <w:tblBorders>
          <w:top w:val="single" w:color="D5DCE6" w:sz="4"/>
          <w:left w:val="single" w:color="D5DCE6" w:sz="4"/>
          <w:bottom w:val="single" w:color="D5DCE6" w:sz="4"/>
          <w:right w:val="single" w:color="D5DCE6" w:sz="4"/>
          <w:insideH w:val="single" w:color="D5DCE6" w:sz="4"/>
          <w:insideV w:val="single" w:color="D5DCE6" w:sz="4"/>
        </w:tblBorders>
        <w:tblLayout w:type="fixed"/>
      </w:tblPr>
      <w:tblGrid>
        <w:gridCol w:w="503"/>
        <w:gridCol w:w="2617"/>
        <w:gridCol w:w="6240"/>
      </w:tblGrid>
      <w:tr>
        <w:trPr>
          <w:cantSplit/>
          <w:tblHeader/>
        </w:trPr>
        <w:tc>
          <w:tcPr>
            <w:tcW w:type="dxa" w:w="503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17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6240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This page</w:t>
            </w:r>
          </w:p>
        </w:tc>
      </w:tr>
      <w:tr>
        <w:trPr>
          <w:cantSplit/>
          <w:tblHeader w:val="false"/>
        </w:trPr>
        <w:tc>
          <w:tcPr>
            <w:tcW w:type="dxa" w:w="50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1</w:t>
            </w:r>
          </w:p>
        </w:tc>
        <w:tc>
          <w:tcPr>
            <w:tcW w:type="dxa" w:w="2617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Mirrored slug</w:t>
            </w:r>
          </w:p>
        </w:tc>
        <w:tc>
          <w:tcPr>
            <w:tcW w:type="dxa" w:w="6240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/es/servicios/comercial/</w:t>
            </w:r>
          </w:p>
        </w:tc>
      </w:tr>
      <w:tr>
        <w:trPr>
          <w:cantSplit/>
          <w:tblHeader w:val="false"/>
        </w:trPr>
        <w:tc>
          <w:tcPr>
            <w:tcW w:type="dxa" w:w="50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2</w:t>
            </w:r>
          </w:p>
        </w:tc>
        <w:tc>
          <w:tcPr>
            <w:tcW w:type="dxa" w:w="261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hreflang</w:t>
            </w:r>
          </w:p>
        </w:tc>
        <w:tc>
          <w:tcPr>
            <w:tcW w:type="dxa" w:w="6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en ↔ es, x-default → English</w:t>
            </w:r>
          </w:p>
        </w:tc>
      </w:tr>
      <w:tr>
        <w:trPr>
          <w:cantSplit/>
          <w:tblHeader w:val="false"/>
        </w:trPr>
        <w:tc>
          <w:tcPr>
            <w:tcW w:type="dxa" w:w="50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3</w:t>
            </w:r>
          </w:p>
        </w:tc>
        <w:tc>
          <w:tcPr>
            <w:tcW w:type="dxa" w:w="2617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lang attribute</w:t>
            </w:r>
          </w:p>
        </w:tc>
        <w:tc>
          <w:tcPr>
            <w:tcW w:type="dxa" w:w="6240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html lang="es"</w:t>
            </w:r>
          </w:p>
        </w:tc>
      </w:tr>
      <w:tr>
        <w:trPr>
          <w:cantSplit/>
          <w:tblHeader w:val="false"/>
        </w:trPr>
        <w:tc>
          <w:tcPr>
            <w:tcW w:type="dxa" w:w="50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4</w:t>
            </w:r>
          </w:p>
        </w:tc>
        <w:tc>
          <w:tcPr>
            <w:tcW w:type="dxa" w:w="261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Native H1 and lede</w:t>
            </w:r>
          </w:p>
        </w:tc>
        <w:tc>
          <w:tcPr>
            <w:tcW w:type="dxa" w:w="6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§4.1 — written to the Spanish query</w:t>
            </w:r>
          </w:p>
        </w:tc>
      </w:tr>
      <w:tr>
        <w:trPr>
          <w:cantSplit/>
          <w:tblHeader w:val="false"/>
        </w:trPr>
        <w:tc>
          <w:tcPr>
            <w:tcW w:type="dxa" w:w="50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5</w:t>
            </w:r>
          </w:p>
        </w:tc>
        <w:tc>
          <w:tcPr>
            <w:tcW w:type="dxa" w:w="2617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Spanish query target</w:t>
            </w:r>
          </w:p>
        </w:tc>
        <w:tc>
          <w:tcPr>
            <w:tcW w:type="dxa" w:w="6240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“lavandería comercial Chicago” — §3</w:t>
            </w:r>
          </w:p>
        </w:tc>
      </w:tr>
      <w:tr>
        <w:trPr>
          <w:cantSplit/>
          <w:tblHeader w:val="false"/>
        </w:trPr>
        <w:tc>
          <w:tcPr>
            <w:tcW w:type="dxa" w:w="50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6</w:t>
            </w:r>
          </w:p>
        </w:tc>
        <w:tc>
          <w:tcPr>
            <w:tcW w:type="dxa" w:w="261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Locked service naming</w:t>
            </w:r>
          </w:p>
        </w:tc>
        <w:tc>
          <w:tcPr>
            <w:tcW w:type="dxa" w:w="6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Servicio comercial</w:t>
            </w:r>
          </w:p>
        </w:tc>
      </w:tr>
      <w:tr>
        <w:trPr>
          <w:cantSplit/>
          <w:tblHeader w:val="false"/>
        </w:trPr>
        <w:tc>
          <w:tcPr>
            <w:tcW w:type="dxa" w:w="50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7</w:t>
            </w:r>
          </w:p>
        </w:tc>
        <w:tc>
          <w:tcPr>
            <w:tcW w:type="dxa" w:w="2617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Native FAQ</w:t>
            </w:r>
          </w:p>
        </w:tc>
        <w:tc>
          <w:tcPr>
            <w:tcW w:type="dxa" w:w="6240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Six questions in §4.7, business-register</w:t>
            </w:r>
          </w:p>
        </w:tc>
      </w:tr>
      <w:tr>
        <w:trPr>
          <w:cantSplit/>
          <w:tblHeader w:val="false"/>
        </w:trPr>
        <w:tc>
          <w:tcPr>
            <w:tcW w:type="dxa" w:w="50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8</w:t>
            </w:r>
          </w:p>
        </w:tc>
        <w:tc>
          <w:tcPr>
            <w:tcW w:type="dxa" w:w="261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Schema</w:t>
            </w:r>
          </w:p>
        </w:tc>
        <w:tc>
          <w:tcPr>
            <w:tcW w:type="dxa" w:w="6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inLanguage es; BusinessAudience names in Spanish; no Offer</w:t>
            </w:r>
          </w:p>
        </w:tc>
      </w:tr>
      <w:tr>
        <w:trPr>
          <w:cantSplit/>
          <w:tblHeader w:val="false"/>
        </w:trPr>
        <w:tc>
          <w:tcPr>
            <w:tcW w:type="dxa" w:w="50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9</w:t>
            </w:r>
          </w:p>
        </w:tc>
        <w:tc>
          <w:tcPr>
            <w:tcW w:type="dxa" w:w="2617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Layout tolerance</w:t>
            </w:r>
          </w:p>
        </w:tc>
        <w:tc>
          <w:tcPr>
            <w:tcW w:type="dxa" w:w="6240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Form labels and select options at 320px — §7</w:t>
            </w:r>
          </w:p>
        </w:tc>
      </w:tr>
    </w:tbl>
    <w:p>
      <w:pPr>
        <w:keepNext/>
        <w:pBdr>
          <w:bottom w:val="single" w:color="E8751A" w:sz="14" w:space="8"/>
        </w:pBdr>
        <w:spacing w:after="150" w:before="300" w:line="300"/>
      </w:pPr>
      <w:r>
        <w:rPr>
          <w:rFonts w:ascii="Poppins" w:cs="Poppins" w:eastAsia="Poppins" w:hAnsi="Poppins"/>
          <w:b/>
          <w:bCs/>
          <w:color w:val="1B3C6E"/>
          <w:sz w:val="30"/>
          <w:szCs w:val="30"/>
        </w:rPr>
        <w:t xml:space="preserve">3. Query Targets in Spanish</w:t>
      </w:r>
    </w:p>
    <w:tbl>
      <w:tblPr>
        <w:tblW w:type="dxa" w:w="9360"/>
        <w:tblBorders>
          <w:top w:val="single" w:color="D5DCE6" w:sz="4"/>
          <w:left w:val="single" w:color="D5DCE6" w:sz="4"/>
          <w:bottom w:val="single" w:color="D5DCE6" w:sz="4"/>
          <w:right w:val="single" w:color="D5DCE6" w:sz="4"/>
          <w:insideH w:val="single" w:color="D5DCE6" w:sz="4"/>
          <w:insideV w:val="single" w:color="D5DCE6" w:sz="4"/>
        </w:tblBorders>
        <w:tblLayout w:type="fixed"/>
      </w:tblPr>
      <w:tblGrid>
        <w:gridCol w:w="1308"/>
        <w:gridCol w:w="3623"/>
        <w:gridCol w:w="4429"/>
      </w:tblGrid>
      <w:tr>
        <w:trPr>
          <w:cantSplit/>
          <w:tblHeader/>
        </w:trPr>
        <w:tc>
          <w:tcPr>
            <w:tcW w:type="dxa" w:w="1308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623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Spanish query</w:t>
            </w:r>
          </w:p>
        </w:tc>
        <w:tc>
          <w:tcPr>
            <w:tcW w:type="dxa" w:w="4429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rPr>
          <w:cantSplit/>
          <w:tblHeader w:val="false"/>
        </w:trPr>
        <w:tc>
          <w:tcPr>
            <w:tcW w:type="dxa" w:w="1308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Primary</w:t>
            </w:r>
          </w:p>
        </w:tc>
        <w:tc>
          <w:tcPr>
            <w:tcW w:type="dxa" w:w="362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lavandería comercial Chicago</w:t>
            </w:r>
          </w:p>
        </w:tc>
        <w:tc>
          <w:tcPr>
            <w:tcW w:type="dxa" w:w="4429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The direct equivalent, and genuinely searched</w:t>
            </w:r>
          </w:p>
        </w:tc>
      </w:tr>
      <w:tr>
        <w:trPr>
          <w:cantSplit/>
          <w:tblHeader w:val="false"/>
        </w:trPr>
        <w:tc>
          <w:tcPr>
            <w:tcW w:type="dxa" w:w="13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Primary</w:t>
            </w:r>
          </w:p>
        </w:tc>
        <w:tc>
          <w:tcPr>
            <w:tcW w:type="dxa" w:w="362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servicio de lavandería para negocios</w:t>
            </w:r>
          </w:p>
        </w:tc>
        <w:tc>
          <w:tcPr>
            <w:tcW w:type="dxa" w:w="44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How a small-business owner phrases it</w:t>
            </w:r>
          </w:p>
        </w:tc>
      </w:tr>
      <w:tr>
        <w:trPr>
          <w:cantSplit/>
          <w:tblHeader w:val="false"/>
        </w:trPr>
        <w:tc>
          <w:tcPr>
            <w:tcW w:type="dxa" w:w="1308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Secondary</w:t>
            </w:r>
          </w:p>
        </w:tc>
        <w:tc>
          <w:tcPr>
            <w:tcW w:type="dxa" w:w="362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lavado de toallas para salones</w:t>
            </w:r>
          </w:p>
        </w:tc>
        <w:tc>
          <w:tcPr>
            <w:tcW w:type="dxa" w:w="4429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Salon segment — very low competition in Spanish</w:t>
            </w:r>
          </w:p>
        </w:tc>
      </w:tr>
      <w:tr>
        <w:trPr>
          <w:cantSplit/>
          <w:tblHeader w:val="false"/>
        </w:trPr>
        <w:tc>
          <w:tcPr>
            <w:tcW w:type="dxa" w:w="13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Secondary</w:t>
            </w:r>
          </w:p>
        </w:tc>
        <w:tc>
          <w:tcPr>
            <w:tcW w:type="dxa" w:w="362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lavandería para restaurantes Chicago</w:t>
            </w:r>
          </w:p>
        </w:tc>
        <w:tc>
          <w:tcPr>
            <w:tcW w:type="dxa" w:w="44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Mantelería and aprons</w:t>
            </w:r>
          </w:p>
        </w:tc>
      </w:tr>
      <w:tr>
        <w:trPr>
          <w:cantSplit/>
          <w:tblHeader w:val="false"/>
        </w:trPr>
        <w:tc>
          <w:tcPr>
            <w:tcW w:type="dxa" w:w="1308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Secondary</w:t>
            </w:r>
          </w:p>
        </w:tc>
        <w:tc>
          <w:tcPr>
            <w:tcW w:type="dxa" w:w="362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lavado de ropa para Airbnb</w:t>
            </w:r>
          </w:p>
        </w:tc>
        <w:tc>
          <w:tcPr>
            <w:tcW w:type="dxa" w:w="4429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STR segment; “Airbnb” stays in English</w:t>
            </w:r>
          </w:p>
        </w:tc>
      </w:tr>
      <w:tr>
        <w:trPr>
          <w:cantSplit/>
          <w:tblHeader w:val="false"/>
        </w:trPr>
        <w:tc>
          <w:tcPr>
            <w:tcW w:type="dxa" w:w="13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Long-tail</w:t>
            </w:r>
          </w:p>
        </w:tc>
        <w:tc>
          <w:tcPr>
            <w:tcW w:type="dxa" w:w="362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lavandería por volumen cerca de mí</w:t>
            </w:r>
          </w:p>
        </w:tc>
        <w:tc>
          <w:tcPr>
            <w:tcW w:type="dxa" w:w="44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Volume framing rather than “bulk”</w:t>
            </w:r>
          </w:p>
        </w:tc>
      </w:tr>
    </w:tbl>
    <w:tbl>
      <w:tblPr>
        <w:tblW w:type="dxa" w:w="9360"/>
        <w:tblBorders>
          <w:top w:val="single" w:color="2E86AB" w:sz="3"/>
          <w:left w:val="single" w:color="2E86AB" w:sz="26"/>
          <w:bottom w:val="single" w:color="2E86AB" w:sz="3"/>
          <w:right w:val="single" w:color="2E86AB" w:sz="3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dxa" w:w="9360"/>
            <w:shd w:fill="E9F3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 w:line="258"/>
            </w:pPr>
            <w:r>
              <w:rPr>
                <w:rFonts w:ascii="Poppins" w:cs="Poppins" w:eastAsia="Poppins" w:hAnsi="Poppins"/>
                <w:b/>
                <w:bCs/>
                <w:color w:val="2E86AB"/>
                <w:sz w:val="18"/>
                <w:szCs w:val="18"/>
              </w:rPr>
              <w:t xml:space="preserve">THE SEGMENT QUERIES ARE THE OPPORTUNITY</w:t>
            </w:r>
          </w:p>
          <w:p>
            <w:pPr>
              <w:spacing w:after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Spanish-language searches for trade-specific laundry — salon towels, restaurant linen — face almost no in-language competition on the Northwest Side, and many of the businesses in those categories locally are Spanish-owned. This may be the highest-yield Spanish page on the site despite being the lowest-traffic English one.</w:t>
            </w:r>
          </w:p>
        </w:tc>
      </w:tr>
    </w:tbl>
    <w:p>
      <w:pPr>
        <w:keepNext/>
        <w:pBdr>
          <w:bottom w:val="single" w:color="E8751A" w:sz="14" w:space="8"/>
        </w:pBdr>
        <w:spacing w:after="150" w:before="300" w:line="300"/>
      </w:pPr>
      <w:r>
        <w:rPr>
          <w:rFonts w:ascii="Poppins" w:cs="Poppins" w:eastAsia="Poppins" w:hAnsi="Poppins"/>
          <w:b/>
          <w:bCs/>
          <w:color w:val="1B3C6E"/>
          <w:sz w:val="30"/>
          <w:szCs w:val="30"/>
        </w:rPr>
        <w:t xml:space="preserve">4. The Page, Restated Block by Block</w:t>
      </w:r>
    </w:p>
    <w:p>
      <w:pPr>
        <w:keepNext/>
        <w:spacing w:after="110" w:before="260" w:line="288"/>
      </w:pPr>
      <w:r>
        <w:rPr>
          <w:rFonts w:ascii="Poppins" w:cs="Poppins" w:eastAsia="Poppins" w:hAnsi="Poppins"/>
          <w:b/>
          <w:bCs/>
          <w:color w:val="1B3C6E"/>
          <w:sz w:val="23"/>
          <w:szCs w:val="23"/>
        </w:rPr>
        <w:t xml:space="preserve">4.1 Hero</w:t>
      </w:r>
    </w:p>
    <w:tbl>
      <w:tblPr>
        <w:tblW w:type="dxa" w:w="9360"/>
        <w:tblBorders>
          <w:top w:val="single" w:color="D5DCE6" w:sz="3"/>
          <w:left w:val="single" w:color="D5DCE6" w:sz="3"/>
          <w:bottom w:val="single" w:color="D5DCE6" w:sz="3"/>
          <w:right w:val="single" w:color="D5DCE6" w:sz="3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dxa" w:w="9360"/>
            <w:shd w:fill="F4F6F9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H1:   Lavandería comercial para negocios en Chicago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Lede: En Laundry Station manejamos el volumen constante de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    mantelería, toallas y uniformes de negocios del noroeste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    de Chicago — lavado, secado y doblado en máquinas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    revisadas, con recolección y entrega para cuentas.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    Díganos su volumen y le enviamos una cotización.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CTA principal:   Solicitar cotización   -&gt;  #cotizacion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CTA secundario:  Llamar {{PHONE}}</w:t>
            </w:r>
          </w:p>
        </w:tc>
      </w:tr>
    </w:tbl>
    <w:p>
      <w:pPr>
        <w:keepNext w:val="false"/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Note “Díganos” and “le enviamos” — usted from the first sentence. The anchor id is Spanish (#cotizacion) so the URL fragment matches the page language.</w:t>
      </w:r>
    </w:p>
    <w:p>
      <w:pPr>
        <w:keepNext/>
        <w:spacing w:after="110" w:before="260" w:line="288"/>
      </w:pPr>
      <w:r>
        <w:rPr>
          <w:rFonts w:ascii="Poppins" w:cs="Poppins" w:eastAsia="Poppins" w:hAnsi="Poppins"/>
          <w:b/>
          <w:bCs/>
          <w:color w:val="1B3C6E"/>
          <w:sz w:val="23"/>
          <w:szCs w:val="23"/>
        </w:rPr>
        <w:t xml:space="preserve">4.2 Who it’s for — the six segments</w:t>
      </w:r>
    </w:p>
    <w:tbl>
      <w:tblPr>
        <w:tblW w:type="dxa" w:w="9360"/>
        <w:tblBorders>
          <w:top w:val="single" w:color="D5DCE6" w:sz="4"/>
          <w:left w:val="single" w:color="D5DCE6" w:sz="4"/>
          <w:bottom w:val="single" w:color="D5DCE6" w:sz="4"/>
          <w:right w:val="single" w:color="D5DCE6" w:sz="4"/>
          <w:insideH w:val="single" w:color="D5DCE6" w:sz="4"/>
          <w:insideV w:val="single" w:color="D5DCE6" w:sz="4"/>
        </w:tblBorders>
        <w:tblLayout w:type="fixed"/>
      </w:tblPr>
      <w:tblGrid>
        <w:gridCol w:w="3422"/>
        <w:gridCol w:w="5938"/>
      </w:tblGrid>
      <w:tr>
        <w:trPr>
          <w:cantSplit/>
          <w:tblHeader/>
        </w:trPr>
        <w:tc>
          <w:tcPr>
            <w:tcW w:type="dxa" w:w="3422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Segmento</w:t>
            </w:r>
          </w:p>
        </w:tc>
        <w:tc>
          <w:tcPr>
            <w:tcW w:type="dxa" w:w="5938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Qué envían</w:t>
            </w:r>
          </w:p>
        </w:tc>
      </w:tr>
      <w:tr>
        <w:trPr>
          <w:cantSplit/>
          <w:tblHeader w:val="false"/>
        </w:trPr>
        <w:tc>
          <w:tcPr>
            <w:tcW w:type="dxa" w:w="3422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Rentas de corto plazo</w:t>
            </w:r>
          </w:p>
        </w:tc>
        <w:tc>
          <w:tcPr>
            <w:tcW w:type="dxa" w:w="5938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Sábanas, fundas, toallas de baño y de alberca</w:t>
            </w:r>
          </w:p>
        </w:tc>
      </w:tr>
      <w:tr>
        <w:trPr>
          <w:cantSplit/>
          <w:tblHeader w:val="false"/>
        </w:trPr>
        <w:tc>
          <w:tcPr>
            <w:tcW w:type="dxa" w:w="34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Salones y barberías</w:t>
            </w:r>
          </w:p>
        </w:tc>
        <w:tc>
          <w:tcPr>
            <w:tcW w:type="dxa" w:w="593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Toallas, capas, batas</w:t>
            </w:r>
          </w:p>
        </w:tc>
      </w:tr>
      <w:tr>
        <w:trPr>
          <w:cantSplit/>
          <w:tblHeader w:val="false"/>
        </w:trPr>
        <w:tc>
          <w:tcPr>
            <w:tcW w:type="dxa" w:w="3422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Gimnasios y estudios</w:t>
            </w:r>
          </w:p>
        </w:tc>
        <w:tc>
          <w:tcPr>
            <w:tcW w:type="dxa" w:w="5938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Toallas de miembros, tapetes, uniformes del personal</w:t>
            </w:r>
          </w:p>
        </w:tc>
      </w:tr>
      <w:tr>
        <w:trPr>
          <w:cantSplit/>
          <w:tblHeader w:val="false"/>
        </w:trPr>
        <w:tc>
          <w:tcPr>
            <w:tcW w:type="dxa" w:w="34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Restaurantes y cafeterías</w:t>
            </w:r>
          </w:p>
        </w:tc>
        <w:tc>
          <w:tcPr>
            <w:tcW w:type="dxa" w:w="593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Mantelería, delantales, trapos de cocina</w:t>
            </w:r>
          </w:p>
        </w:tc>
      </w:tr>
      <w:tr>
        <w:trPr>
          <w:cantSplit/>
          <w:tblHeader w:val="false"/>
        </w:trPr>
        <w:tc>
          <w:tcPr>
            <w:tcW w:type="dxa" w:w="3422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Clínicas y consultorios</w:t>
            </w:r>
          </w:p>
        </w:tc>
        <w:tc>
          <w:tcPr>
            <w:tcW w:type="dxa" w:w="5938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Batas, sábanas, uniformes médicos</w:t>
            </w:r>
          </w:p>
        </w:tc>
      </w:tr>
      <w:tr>
        <w:trPr>
          <w:cantSplit/>
          <w:tblHeader w:val="false"/>
        </w:trPr>
        <w:tc>
          <w:tcPr>
            <w:tcW w:type="dxa" w:w="34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Oficinas y empresas de limpieza</w:t>
            </w:r>
          </w:p>
        </w:tc>
        <w:tc>
          <w:tcPr>
            <w:tcW w:type="dxa" w:w="593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Trapeadores, franelas, uniformes</w:t>
            </w:r>
          </w:p>
        </w:tc>
      </w:tr>
    </w:tbl>
    <w:p>
      <w:pPr>
        <w:keepNext w:val="false"/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“Rentas de corto plazo” rather than “Airbnb” as the card title, with Airbnb named in the body copy — the category is broader than the brand, and the brand name is what people search. “Mantelería” is the correct trade term for restaurant table linen and is what a restaurant owner will recognise; “ropa de mesa” would read as a translation.</w:t>
      </w:r>
    </w:p>
    <w:p>
      <w:pPr>
        <w:keepNext/>
        <w:spacing w:after="110" w:before="260" w:line="288"/>
      </w:pPr>
      <w:r>
        <w:rPr>
          <w:rFonts w:ascii="Poppins" w:cs="Poppins" w:eastAsia="Poppins" w:hAnsi="Poppins"/>
          <w:b/>
          <w:bCs/>
          <w:color w:val="1B3C6E"/>
          <w:sz w:val="23"/>
          <w:szCs w:val="23"/>
        </w:rPr>
        <w:t xml:space="preserve">4.3 How an account works</w:t>
      </w:r>
    </w:p>
    <w:tbl>
      <w:tblPr>
        <w:tblW w:type="dxa" w:w="9360"/>
        <w:tblBorders>
          <w:top w:val="single" w:color="D5DCE6" w:sz="4"/>
          <w:left w:val="single" w:color="D5DCE6" w:sz="4"/>
          <w:bottom w:val="single" w:color="D5DCE6" w:sz="4"/>
          <w:right w:val="single" w:color="D5DCE6" w:sz="4"/>
          <w:insideH w:val="single" w:color="D5DCE6" w:sz="4"/>
          <w:insideV w:val="single" w:color="D5DCE6" w:sz="4"/>
        </w:tblBorders>
        <w:tblLayout w:type="fixed"/>
      </w:tblPr>
      <w:tblGrid>
        <w:gridCol w:w="2315"/>
        <w:gridCol w:w="7045"/>
      </w:tblGrid>
      <w:tr>
        <w:trPr>
          <w:cantSplit/>
          <w:tblHeader/>
        </w:trPr>
        <w:tc>
          <w:tcPr>
            <w:tcW w:type="dxa" w:w="2315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7045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Texto</w:t>
            </w:r>
          </w:p>
        </w:tc>
      </w:tr>
      <w:tr>
        <w:trPr>
          <w:cantSplit/>
          <w:tblHeader w:val="false"/>
        </w:trPr>
        <w:tc>
          <w:tcPr>
            <w:tcW w:type="dxa" w:w="2315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1. Díganos su volumen</w:t>
            </w:r>
          </w:p>
        </w:tc>
        <w:tc>
          <w:tcPr>
            <w:tcW w:type="dxa" w:w="7045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Más o menos cuánto, con qué frecuencia y de qué tipo. Un aproximado basta para empezar.</w:t>
            </w:r>
          </w:p>
        </w:tc>
      </w:tr>
      <w:tr>
        <w:trPr>
          <w:cantSplit/>
          <w:tblHeader w:val="false"/>
        </w:trPr>
        <w:tc>
          <w:tcPr>
            <w:tcW w:type="dxa" w:w="23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2. Le cotizamos</w:t>
            </w:r>
          </w:p>
        </w:tc>
        <w:tc>
          <w:tcPr>
            <w:tcW w:type="dxa" w:w="704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Un precio por libra según su volumen y frecuencia, en un día hábil.</w:t>
            </w:r>
          </w:p>
        </w:tc>
      </w:tr>
      <w:tr>
        <w:trPr>
          <w:cantSplit/>
          <w:tblHeader w:val="false"/>
        </w:trPr>
        <w:tc>
          <w:tcPr>
            <w:tcW w:type="dxa" w:w="2315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3. Fijamos el horario</w:t>
            </w:r>
          </w:p>
        </w:tc>
        <w:tc>
          <w:tcPr>
            <w:tcW w:type="dxa" w:w="7045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Un día fijo de recolección, o cuando lo necesite — como funcione su negocio.</w:t>
            </w:r>
          </w:p>
        </w:tc>
      </w:tr>
      <w:tr>
        <w:trPr>
          <w:cantSplit/>
          <w:tblHeader w:val="false"/>
        </w:trPr>
        <w:tc>
          <w:tcPr>
            <w:tcW w:type="dxa" w:w="23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4. Ya no se preocupa</w:t>
            </w:r>
          </w:p>
        </w:tc>
        <w:tc>
          <w:tcPr>
            <w:tcW w:type="dxa" w:w="704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Recogemos, lavamos y entregamos en el mismo horario cada semana. Una factura al mes.</w:t>
            </w:r>
          </w:p>
        </w:tc>
      </w:tr>
    </w:tbl>
    <w:p>
      <w:pPr>
        <w:keepNext w:val="false"/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Step 4’s heading is idiomatic rather than literal — the English is “It just runs,” which has no clean Spanish equivalent. “Ya no se preocupa” carries the same promise in the register the page is using.</w:t>
      </w:r>
    </w:p>
    <w:p>
      <w:pPr>
        <w:keepNext/>
        <w:spacing w:after="110" w:before="260" w:line="288"/>
      </w:pPr>
      <w:r>
        <w:rPr>
          <w:rFonts w:ascii="Poppins" w:cs="Poppins" w:eastAsia="Poppins" w:hAnsi="Poppins"/>
          <w:b/>
          <w:bCs/>
          <w:color w:val="1B3C6E"/>
          <w:sz w:val="23"/>
          <w:szCs w:val="23"/>
        </w:rPr>
        <w:t xml:space="preserve">4.4 What businesses get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Un horario fijo que puede planear — el mismo día de recolección cada semana.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Tiempo de entrega constante, normalmente al día siguiente.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Recolección y entrega incluidas para cuentas — nadie de su personal hace el viaje.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Una sola persona que conoce su cuenta, no un centro de llamadas.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Las mismas máquinas revisadas que usamos en nuestro local — nada se manda a otro lugar.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Una factura al mes en lugar de un recibo por cada carga.</w:t>
      </w:r>
    </w:p>
    <w:p>
      <w:pPr>
        <w:keepNext/>
        <w:spacing w:after="110" w:before="260" w:line="288"/>
      </w:pPr>
      <w:r>
        <w:rPr>
          <w:rFonts w:ascii="Poppins" w:cs="Poppins" w:eastAsia="Poppins" w:hAnsi="Poppins"/>
          <w:b/>
          <w:bCs/>
          <w:color w:val="1B3C6E"/>
          <w:sz w:val="23"/>
          <w:szCs w:val="23"/>
        </w:rPr>
        <w:t xml:space="preserve">4.5 Pricing as a process</w:t>
      </w:r>
    </w:p>
    <w:tbl>
      <w:tblPr>
        <w:tblW w:type="dxa" w:w="9360"/>
        <w:tblBorders>
          <w:top w:val="single" w:color="D5DCE6" w:sz="3"/>
          <w:left w:val="single" w:color="D5DCE6" w:sz="3"/>
          <w:bottom w:val="single" w:color="D5DCE6" w:sz="3"/>
          <w:right w:val="single" w:color="D5DCE6" w:sz="3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dxa" w:w="9360"/>
            <w:shd w:fill="F4F6F9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"El precio comercial se cotiza por cuenta, porque un salón que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envía cuarenta libras de toallas dos veces por semana y un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restaurante que envía doscientas libras de mantelería diario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no son el mismo trabajo. Díganos su volumen, con qué frecuencia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y de qué tipo — le damos un precio por libra en un día hábil."</w:t>
            </w:r>
          </w:p>
        </w:tc>
      </w:tr>
    </w:tbl>
    <w:tbl>
      <w:tblPr>
        <w:tblW w:type="dxa" w:w="9360"/>
        <w:tblBorders>
          <w:top w:val="single" w:color="B3261E" w:sz="3"/>
          <w:left w:val="single" w:color="B3261E" w:sz="26"/>
          <w:bottom w:val="single" w:color="B3261E" w:sz="3"/>
          <w:right w:val="single" w:color="B3261E" w:sz="3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dxa" w:w="9360"/>
            <w:shd w:fill="FBEBEA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 w:line="258"/>
            </w:pPr>
            <w:r>
              <w:rPr>
                <w:rFonts w:ascii="Poppins" w:cs="Poppins" w:eastAsia="Poppins" w:hAnsi="Poppins"/>
                <w:b/>
                <w:bCs/>
                <w:color w:val="B3261E"/>
                <w:sz w:val="18"/>
                <w:szCs w:val="18"/>
              </w:rPr>
              <w:t xml:space="preserve">SIN PORCENTAJES DE AHORRO</w:t>
            </w:r>
          </w:p>
          <w:p>
            <w:pPr>
              <w:spacing w:after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El sitio hermano anuncia un porcentaje de ahorro en el servicio comercial. Aquí se rechaza.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Sin “ahorre 15–25%,” sin comparación con otro proveedor, sin precio publicado y sin “desde”. La honestidad del proceso de cotización es el argumento de venta.</w:t>
            </w:r>
          </w:p>
        </w:tc>
      </w:tr>
    </w:tbl>
    <w:p>
      <w:pPr>
        <w:keepNext/>
        <w:spacing w:after="110" w:before="260" w:line="288"/>
      </w:pPr>
      <w:r>
        <w:rPr>
          <w:rFonts w:ascii="Poppins" w:cs="Poppins" w:eastAsia="Poppins" w:hAnsi="Poppins"/>
          <w:b/>
          <w:bCs/>
          <w:color w:val="1B3C6E"/>
          <w:sz w:val="23"/>
          <w:szCs w:val="23"/>
        </w:rPr>
        <w:t xml:space="preserve">4.6 The quote form</w:t>
      </w:r>
    </w:p>
    <w:tbl>
      <w:tblPr>
        <w:tblW w:type="dxa" w:w="9360"/>
        <w:tblBorders>
          <w:top w:val="single" w:color="D5DCE6" w:sz="4"/>
          <w:left w:val="single" w:color="D5DCE6" w:sz="4"/>
          <w:bottom w:val="single" w:color="D5DCE6" w:sz="4"/>
          <w:right w:val="single" w:color="D5DCE6" w:sz="4"/>
          <w:insideH w:val="single" w:color="D5DCE6" w:sz="4"/>
          <w:insideV w:val="single" w:color="D5DCE6" w:sz="4"/>
        </w:tblBorders>
        <w:tblLayout w:type="fixed"/>
      </w:tblPr>
      <w:tblGrid>
        <w:gridCol w:w="2214"/>
        <w:gridCol w:w="3221"/>
        <w:gridCol w:w="3925"/>
      </w:tblGrid>
      <w:tr>
        <w:trPr>
          <w:cantSplit/>
          <w:tblHeader/>
        </w:trPr>
        <w:tc>
          <w:tcPr>
            <w:tcW w:type="dxa" w:w="2214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221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Etiqueta en español</w:t>
            </w:r>
          </w:p>
        </w:tc>
        <w:tc>
          <w:tcPr>
            <w:tcW w:type="dxa" w:w="3925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rPr>
          <w:cantSplit/>
          <w:tblHeader w:val="false"/>
        </w:trPr>
        <w:tc>
          <w:tcPr>
            <w:tcW w:type="dxa" w:w="2214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Business name</w:t>
            </w:r>
          </w:p>
        </w:tc>
        <w:tc>
          <w:tcPr>
            <w:tcW w:type="dxa" w:w="3221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Nombre del negocio</w:t>
            </w:r>
          </w:p>
        </w:tc>
        <w:tc>
          <w:tcPr>
            <w:tcW w:type="dxa" w:w="3925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2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Contact name</w:t>
            </w:r>
          </w:p>
        </w:tc>
        <w:tc>
          <w:tcPr>
            <w:tcW w:type="dxa" w:w="322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Nombre de contacto</w:t>
            </w:r>
          </w:p>
        </w:tc>
        <w:tc>
          <w:tcPr>
            <w:tcW w:type="dxa" w:w="39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214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Phone</w:t>
            </w:r>
          </w:p>
        </w:tc>
        <w:tc>
          <w:tcPr>
            <w:tcW w:type="dxa" w:w="3221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Teléfono</w:t>
            </w:r>
          </w:p>
        </w:tc>
        <w:tc>
          <w:tcPr>
            <w:tcW w:type="dxa" w:w="3925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2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Email</w:t>
            </w:r>
          </w:p>
        </w:tc>
        <w:tc>
          <w:tcPr>
            <w:tcW w:type="dxa" w:w="322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Correo electrónico</w:t>
            </w:r>
          </w:p>
        </w:tc>
        <w:tc>
          <w:tcPr>
            <w:tcW w:type="dxa" w:w="39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Not “email” — the full term reads as more careful</w:t>
            </w:r>
          </w:p>
        </w:tc>
      </w:tr>
      <w:tr>
        <w:trPr>
          <w:cantSplit/>
          <w:tblHeader w:val="false"/>
        </w:trPr>
        <w:tc>
          <w:tcPr>
            <w:tcW w:type="dxa" w:w="2214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Business type</w:t>
            </w:r>
          </w:p>
        </w:tc>
        <w:tc>
          <w:tcPr>
            <w:tcW w:type="dxa" w:w="3221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Tipo de negocio</w:t>
            </w:r>
          </w:p>
        </w:tc>
        <w:tc>
          <w:tcPr>
            <w:tcW w:type="dxa" w:w="3925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Options are the six segment names from §4.2</w:t>
            </w:r>
          </w:p>
        </w:tc>
      </w:tr>
      <w:tr>
        <w:trPr>
          <w:cantSplit/>
          <w:tblHeader w:val="false"/>
        </w:trPr>
        <w:tc>
          <w:tcPr>
            <w:tcW w:type="dxa" w:w="22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Weekly volume</w:t>
            </w:r>
          </w:p>
        </w:tc>
        <w:tc>
          <w:tcPr>
            <w:tcW w:type="dxa" w:w="322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Volumen aproximado por semana</w:t>
            </w:r>
          </w:p>
        </w:tc>
        <w:tc>
          <w:tcPr>
            <w:tcW w:type="dxa" w:w="39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Menos de 50 lb / 50–150 / 150–300 / 300+ / No estoy seguro</w:t>
            </w:r>
          </w:p>
        </w:tc>
      </w:tr>
      <w:tr>
        <w:trPr>
          <w:cantSplit/>
          <w:tblHeader w:val="false"/>
        </w:trPr>
        <w:tc>
          <w:tcPr>
            <w:tcW w:type="dxa" w:w="2214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Frequency</w:t>
            </w:r>
          </w:p>
        </w:tc>
        <w:tc>
          <w:tcPr>
            <w:tcW w:type="dxa" w:w="3221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Con qué frecuencia</w:t>
            </w:r>
          </w:p>
        </w:tc>
        <w:tc>
          <w:tcPr>
            <w:tcW w:type="dxa" w:w="3925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Diario / Varias veces por semana / Semanal / Cuando lo necesite</w:t>
            </w:r>
          </w:p>
        </w:tc>
      </w:tr>
      <w:tr>
        <w:trPr>
          <w:cantSplit/>
          <w:tblHeader w:val="false"/>
        </w:trPr>
        <w:tc>
          <w:tcPr>
            <w:tcW w:type="dxa" w:w="22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Anything else</w:t>
            </w:r>
          </w:p>
        </w:tc>
        <w:tc>
          <w:tcPr>
            <w:tcW w:type="dxa" w:w="322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¿Algo más que debamos saber?</w:t>
            </w:r>
          </w:p>
        </w:tc>
        <w:tc>
          <w:tcPr>
            <w:tcW w:type="dxa" w:w="39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214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Submit</w:t>
            </w:r>
          </w:p>
        </w:tc>
        <w:tc>
          <w:tcPr>
            <w:tcW w:type="dxa" w:w="3221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Solicitar cotización</w:t>
            </w:r>
          </w:p>
        </w:tc>
        <w:tc>
          <w:tcPr>
            <w:tcW w:type="dxa" w:w="3925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The longest button label on the Spanish site</w:t>
            </w:r>
          </w:p>
        </w:tc>
      </w:tr>
      <w:tr>
        <w:trPr>
          <w:cantSplit/>
          <w:tblHeader w:val="false"/>
        </w:trPr>
        <w:tc>
          <w:tcPr>
            <w:tcW w:type="dxa" w:w="22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Response note</w:t>
            </w:r>
          </w:p>
        </w:tc>
        <w:tc>
          <w:tcPr>
            <w:tcW w:type="dxa" w:w="322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Le respondemos en un día hábil.</w:t>
            </w:r>
          </w:p>
        </w:tc>
        <w:tc>
          <w:tcPr>
            <w:tcW w:type="dxa" w:w="39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Must match the English commitment exactly</w:t>
            </w:r>
          </w:p>
        </w:tc>
      </w:tr>
    </w:tbl>
    <w:tbl>
      <w:tblPr>
        <w:tblW w:type="dxa" w:w="9360"/>
        <w:tblBorders>
          <w:top w:val="single" w:color="2E86AB" w:sz="3"/>
          <w:left w:val="single" w:color="2E86AB" w:sz="26"/>
          <w:bottom w:val="single" w:color="2E86AB" w:sz="3"/>
          <w:right w:val="single" w:color="2E86AB" w:sz="3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dxa" w:w="9360"/>
            <w:shd w:fill="E9F3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 w:line="258"/>
            </w:pPr>
            <w:r>
              <w:rPr>
                <w:rFonts w:ascii="Poppins" w:cs="Poppins" w:eastAsia="Poppins" w:hAnsi="Poppins"/>
                <w:b/>
                <w:bCs/>
                <w:color w:val="2E86AB"/>
                <w:sz w:val="18"/>
                <w:szCs w:val="18"/>
              </w:rPr>
              <w:t xml:space="preserve">POUNDS, NOT KILOS</w:t>
            </w:r>
          </w:p>
          <w:p>
            <w:pPr>
              <w:spacing w:after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The volume options stay in pounds. The store weighs in pounds, the quote will be in dollars per pound, and converting to kilos on the Spanish page would produce a number the invoice never matches. This is the same discipline as keeping neighbourhood names in English — usability beats literal localisation.</w:t>
            </w:r>
          </w:p>
        </w:tc>
      </w:tr>
    </w:tbl>
    <w:p>
      <w:pPr>
        <w:keepNext/>
        <w:spacing w:after="110" w:before="260" w:line="288"/>
      </w:pPr>
      <w:r>
        <w:rPr>
          <w:rFonts w:ascii="Poppins" w:cs="Poppins" w:eastAsia="Poppins" w:hAnsi="Poppins"/>
          <w:b/>
          <w:bCs/>
          <w:color w:val="1B3C6E"/>
          <w:sz w:val="23"/>
          <w:szCs w:val="23"/>
        </w:rPr>
        <w:t xml:space="preserve">4.7 FAQ</w:t>
      </w:r>
    </w:p>
    <w:tbl>
      <w:tblPr>
        <w:tblW w:type="dxa" w:w="9360"/>
        <w:tblBorders>
          <w:top w:val="single" w:color="D5DCE6" w:sz="4"/>
          <w:left w:val="single" w:color="D5DCE6" w:sz="4"/>
          <w:bottom w:val="single" w:color="D5DCE6" w:sz="4"/>
          <w:right w:val="single" w:color="D5DCE6" w:sz="4"/>
          <w:insideH w:val="single" w:color="D5DCE6" w:sz="4"/>
          <w:insideV w:val="single" w:color="D5DCE6" w:sz="4"/>
        </w:tblBorders>
        <w:tblLayout w:type="fixed"/>
      </w:tblPr>
      <w:tblGrid>
        <w:gridCol w:w="3422"/>
        <w:gridCol w:w="5938"/>
      </w:tblGrid>
      <w:tr>
        <w:trPr>
          <w:cantSplit/>
          <w:tblHeader/>
        </w:trPr>
        <w:tc>
          <w:tcPr>
            <w:tcW w:type="dxa" w:w="3422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5938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Forma de la respuesta</w:t>
            </w:r>
          </w:p>
        </w:tc>
      </w:tr>
      <w:tr>
        <w:trPr>
          <w:cantSplit/>
          <w:tblHeader w:val="false"/>
        </w:trPr>
        <w:tc>
          <w:tcPr>
            <w:tcW w:type="dxa" w:w="3422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¿Hay un mínimo para cuentas comerciales?</w:t>
            </w:r>
          </w:p>
        </w:tc>
        <w:tc>
          <w:tcPr>
            <w:tcW w:type="dxa" w:w="5938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PROVISIONAL: 25 lb por recolección — confirmar</w:t>
            </w:r>
          </w:p>
        </w:tc>
      </w:tr>
      <w:tr>
        <w:trPr>
          <w:cantSplit/>
          <w:tblHeader w:val="false"/>
        </w:trPr>
        <w:tc>
          <w:tcPr>
            <w:tcW w:type="dxa" w:w="34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¿Cuánto tardan?</w:t>
            </w:r>
          </w:p>
        </w:tc>
        <w:tc>
          <w:tcPr>
            <w:tcW w:type="dxa" w:w="593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Al día siguiente; decir claramente si los días pico son distintos</w:t>
            </w:r>
          </w:p>
        </w:tc>
      </w:tr>
      <w:tr>
        <w:trPr>
          <w:cantSplit/>
          <w:tblHeader w:val="false"/>
        </w:trPr>
        <w:tc>
          <w:tcPr>
            <w:tcW w:type="dxa" w:w="3422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¿Recogen y entregan para negocios?</w:t>
            </w:r>
          </w:p>
        </w:tc>
        <w:tc>
          <w:tcPr>
            <w:tcW w:type="dxa" w:w="5938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Sí, incluido para cuentas, en un horario fijo</w:t>
            </w:r>
          </w:p>
        </w:tc>
      </w:tr>
      <w:tr>
        <w:trPr>
          <w:cantSplit/>
          <w:tblHeader w:val="false"/>
        </w:trPr>
        <w:tc>
          <w:tcPr>
            <w:tcW w:type="dxa" w:w="34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¿Cómo funciona la facturación?</w:t>
            </w:r>
          </w:p>
        </w:tc>
        <w:tc>
          <w:tcPr>
            <w:tcW w:type="dxa" w:w="593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PROVISIONAL: factura mensual — confirmar</w:t>
            </w:r>
          </w:p>
        </w:tc>
      </w:tr>
      <w:tr>
        <w:trPr>
          <w:cantSplit/>
          <w:tblHeader w:val="false"/>
        </w:trPr>
        <w:tc>
          <w:tcPr>
            <w:tcW w:type="dxa" w:w="3422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¿Manejan mantelería además de ropa?</w:t>
            </w:r>
          </w:p>
        </w:tc>
        <w:tc>
          <w:tcPr>
            <w:tcW w:type="dxa" w:w="5938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Mantelería, toallas y uniformes sí; tintorería fuera de alcance</w:t>
            </w:r>
          </w:p>
        </w:tc>
      </w:tr>
      <w:tr>
        <w:trPr>
          <w:cantSplit/>
          <w:tblHeader w:val="false"/>
        </w:trPr>
        <w:tc>
          <w:tcPr>
            <w:tcW w:type="dxa" w:w="34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¿Cómo se fija el precio?</w:t>
            </w:r>
          </w:p>
        </w:tc>
        <w:tc>
          <w:tcPr>
            <w:tcW w:type="dxa" w:w="593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Por volumen, frecuencia y tipo — cotizado por cuenta</w:t>
            </w:r>
          </w:p>
        </w:tc>
      </w:tr>
    </w:tbl>
    <w:tbl>
      <w:tblPr>
        <w:tblW w:type="dxa" w:w="9360"/>
        <w:tblBorders>
          <w:top w:val="single" w:color="B26A00" w:sz="3"/>
          <w:left w:val="single" w:color="B26A00" w:sz="26"/>
          <w:bottom w:val="single" w:color="B26A00" w:sz="3"/>
          <w:right w:val="single" w:color="B26A00" w:sz="3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dxa" w:w="9360"/>
            <w:shd w:fill="FBF1E2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 w:line="258"/>
            </w:pPr>
            <w:r>
              <w:rPr>
                <w:rFonts w:ascii="Poppins" w:cs="Poppins" w:eastAsia="Poppins" w:hAnsi="Poppins"/>
                <w:b/>
                <w:bCs/>
                <w:color w:val="B26A00"/>
                <w:sz w:val="18"/>
                <w:szCs w:val="18"/>
              </w:rPr>
              <w:t xml:space="preserve">LA PUERTA DE LA TINTORERÍA SIGUE CERRADA</w:t>
            </w:r>
          </w:p>
          <w:p>
            <w:pPr>
              <w:spacing w:after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“Tintorería” es la palabra para dry cleaning y no debe aparecer como servicio en ninguna página.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La última respuesta dice qué sí está dentro del alcance sin sugerir que la tienda ofrece tintorería. Esto aplica hasta que se resuelvan las tres preguntas de propiedad (Content Strategy §5.14).</w:t>
            </w:r>
          </w:p>
        </w:tc>
      </w:tr>
    </w:tbl>
    <w:p>
      <w:pPr>
        <w:keepNext/>
        <w:pBdr>
          <w:bottom w:val="single" w:color="E8751A" w:sz="14" w:space="8"/>
        </w:pBdr>
        <w:spacing w:after="150" w:before="300" w:line="300"/>
      </w:pPr>
      <w:r>
        <w:rPr>
          <w:rFonts w:ascii="Poppins" w:cs="Poppins" w:eastAsia="Poppins" w:hAnsi="Poppins"/>
          <w:b/>
          <w:bCs/>
          <w:color w:val="1B3C6E"/>
          <w:sz w:val="30"/>
          <w:szCs w:val="30"/>
        </w:rPr>
        <w:t xml:space="preserve">5. Head, Schema and Locale Wiring</w:t>
      </w:r>
    </w:p>
    <w:tbl>
      <w:tblPr>
        <w:tblW w:type="dxa" w:w="9360"/>
        <w:tblBorders>
          <w:top w:val="single" w:color="D5DCE6" w:sz="3"/>
          <w:left w:val="single" w:color="D5DCE6" w:sz="3"/>
          <w:bottom w:val="single" w:color="D5DCE6" w:sz="3"/>
          <w:right w:val="single" w:color="D5DCE6" w:sz="3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dxa" w:w="9360"/>
            <w:shd w:fill="F4F6F9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&lt;html lang="es"&gt;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&lt;title&gt;Lavandería comercial en Chicago 60634 | Laundry Station&lt;/title&gt;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&lt;meta name="description" content="Lavandería comercial para negocios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en Chicago — mantelería, toallas y uniformes para rentas de corto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plazo, salones, gimnasios, restaurantes y clínicas. Recolección y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entrega para cuentas. Solicite su cotización."&gt;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&lt;link rel="canonical" href="https://{{DOMAIN}}/es/servicios/comercial/"&gt;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&lt;link rel="alternate" hreflang="es"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    href="https://{{DOMAIN}}/es/servicios/comercial/"&gt;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&lt;link rel="alternate" hreflang="en"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    href="https://{{DOMAIN}}/services/commercial/"&gt;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&lt;link rel="alternate" hreflang="x-default"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    href="https://{{DOMAIN}}/services/commercial/"&gt;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/* Schema deltas */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WebPage.inLanguage = "es"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Service.name       = "Servicio de lavandería comercial"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audience[].name    = the six Spanish segment names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FAQPage.mainEntity = the six Spanish Q&amp;As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BreadcrumbList     = Inicio &gt; Servicios &gt; Servicio comercial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/* still no Offer, no price, no aggregateRating */</w:t>
            </w:r>
          </w:p>
        </w:tc>
      </w:tr>
    </w:tbl>
    <w:p>
      <w:pPr>
        <w:keepNext/>
        <w:pBdr>
          <w:bottom w:val="single" w:color="E8751A" w:sz="14" w:space="8"/>
        </w:pBdr>
        <w:spacing w:after="150" w:before="300" w:line="300"/>
      </w:pPr>
      <w:r>
        <w:rPr>
          <w:rFonts w:ascii="Poppins" w:cs="Poppins" w:eastAsia="Poppins" w:hAnsi="Poppins"/>
          <w:b/>
          <w:bCs/>
          <w:color w:val="1B3C6E"/>
          <w:sz w:val="30"/>
          <w:szCs w:val="30"/>
        </w:rPr>
        <w:t xml:space="preserve">6. Commercial Terminology Register</w:t>
      </w:r>
    </w:p>
    <w:tbl>
      <w:tblPr>
        <w:tblW w:type="dxa" w:w="9360"/>
        <w:tblBorders>
          <w:top w:val="single" w:color="D5DCE6" w:sz="4"/>
          <w:left w:val="single" w:color="D5DCE6" w:sz="4"/>
          <w:bottom w:val="single" w:color="D5DCE6" w:sz="4"/>
          <w:right w:val="single" w:color="D5DCE6" w:sz="4"/>
          <w:insideH w:val="single" w:color="D5DCE6" w:sz="4"/>
          <w:insideV w:val="single" w:color="D5DCE6" w:sz="4"/>
        </w:tblBorders>
        <w:tblLayout w:type="fixed"/>
      </w:tblPr>
      <w:tblGrid>
        <w:gridCol w:w="2415"/>
        <w:gridCol w:w="3221"/>
        <w:gridCol w:w="3724"/>
      </w:tblGrid>
      <w:tr>
        <w:trPr>
          <w:cantSplit/>
          <w:tblHeader/>
        </w:trPr>
        <w:tc>
          <w:tcPr>
            <w:tcW w:type="dxa" w:w="2415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English</w:t>
            </w:r>
          </w:p>
        </w:tc>
        <w:tc>
          <w:tcPr>
            <w:tcW w:type="dxa" w:w="3221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Spanish — locked</w:t>
            </w:r>
          </w:p>
        </w:tc>
        <w:tc>
          <w:tcPr>
            <w:tcW w:type="dxa" w:w="3724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rPr>
          <w:cantSplit/>
          <w:tblHeader w:val="false"/>
        </w:trPr>
        <w:tc>
          <w:tcPr>
            <w:tcW w:type="dxa" w:w="2415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Commercial laundry</w:t>
            </w:r>
          </w:p>
        </w:tc>
        <w:tc>
          <w:tcPr>
            <w:tcW w:type="dxa" w:w="3221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Lavandería comercial</w:t>
            </w:r>
          </w:p>
        </w:tc>
        <w:tc>
          <w:tcPr>
            <w:tcW w:type="dxa" w:w="3724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4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Commercial service</w:t>
            </w:r>
          </w:p>
        </w:tc>
        <w:tc>
          <w:tcPr>
            <w:tcW w:type="dxa" w:w="322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Servicio comercial</w:t>
            </w:r>
          </w:p>
        </w:tc>
        <w:tc>
          <w:tcPr>
            <w:tcW w:type="dxa" w:w="372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The locked service name in nav and cards</w:t>
            </w:r>
          </w:p>
        </w:tc>
      </w:tr>
      <w:tr>
        <w:trPr>
          <w:cantSplit/>
          <w:tblHeader w:val="false"/>
        </w:trPr>
        <w:tc>
          <w:tcPr>
            <w:tcW w:type="dxa" w:w="2415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Request a quote</w:t>
            </w:r>
          </w:p>
        </w:tc>
        <w:tc>
          <w:tcPr>
            <w:tcW w:type="dxa" w:w="3221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Solicitar cotización</w:t>
            </w:r>
          </w:p>
        </w:tc>
        <w:tc>
          <w:tcPr>
            <w:tcW w:type="dxa" w:w="3724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Never “pedir presupuesto” — that is Spain</w:t>
            </w:r>
          </w:p>
        </w:tc>
      </w:tr>
      <w:tr>
        <w:trPr>
          <w:cantSplit/>
          <w:tblHeader w:val="false"/>
        </w:trPr>
        <w:tc>
          <w:tcPr>
            <w:tcW w:type="dxa" w:w="24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Quote</w:t>
            </w:r>
          </w:p>
        </w:tc>
        <w:tc>
          <w:tcPr>
            <w:tcW w:type="dxa" w:w="322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Cotización</w:t>
            </w:r>
          </w:p>
        </w:tc>
        <w:tc>
          <w:tcPr>
            <w:tcW w:type="dxa" w:w="372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415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Account</w:t>
            </w:r>
          </w:p>
        </w:tc>
        <w:tc>
          <w:tcPr>
            <w:tcW w:type="dxa" w:w="3221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Cuenta</w:t>
            </w:r>
          </w:p>
        </w:tc>
        <w:tc>
          <w:tcPr>
            <w:tcW w:type="dxa" w:w="3724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4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Table linen</w:t>
            </w:r>
          </w:p>
        </w:tc>
        <w:tc>
          <w:tcPr>
            <w:tcW w:type="dxa" w:w="322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Mantelería</w:t>
            </w:r>
          </w:p>
        </w:tc>
        <w:tc>
          <w:tcPr>
            <w:tcW w:type="dxa" w:w="372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Trade term; not “ropa de mesa”</w:t>
            </w:r>
          </w:p>
        </w:tc>
      </w:tr>
      <w:tr>
        <w:trPr>
          <w:cantSplit/>
          <w:tblHeader w:val="false"/>
        </w:trPr>
        <w:tc>
          <w:tcPr>
            <w:tcW w:type="dxa" w:w="2415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Towels</w:t>
            </w:r>
          </w:p>
        </w:tc>
        <w:tc>
          <w:tcPr>
            <w:tcW w:type="dxa" w:w="3221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Toallas</w:t>
            </w:r>
          </w:p>
        </w:tc>
        <w:tc>
          <w:tcPr>
            <w:tcW w:type="dxa" w:w="3724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4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Uniforms</w:t>
            </w:r>
          </w:p>
        </w:tc>
        <w:tc>
          <w:tcPr>
            <w:tcW w:type="dxa" w:w="322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Uniformes</w:t>
            </w:r>
          </w:p>
        </w:tc>
        <w:tc>
          <w:tcPr>
            <w:tcW w:type="dxa" w:w="372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415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Short-term rentals</w:t>
            </w:r>
          </w:p>
        </w:tc>
        <w:tc>
          <w:tcPr>
            <w:tcW w:type="dxa" w:w="3221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Rentas de corto plazo</w:t>
            </w:r>
          </w:p>
        </w:tc>
        <w:tc>
          <w:tcPr>
            <w:tcW w:type="dxa" w:w="3724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Airbnb named in body copy only</w:t>
            </w:r>
          </w:p>
        </w:tc>
      </w:tr>
      <w:tr>
        <w:trPr>
          <w:cantSplit/>
          <w:tblHeader w:val="false"/>
        </w:trPr>
        <w:tc>
          <w:tcPr>
            <w:tcW w:type="dxa" w:w="24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Business day</w:t>
            </w:r>
          </w:p>
        </w:tc>
        <w:tc>
          <w:tcPr>
            <w:tcW w:type="dxa" w:w="322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Día hábil</w:t>
            </w:r>
          </w:p>
        </w:tc>
        <w:tc>
          <w:tcPr>
            <w:tcW w:type="dxa" w:w="372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Not “día de negocio”</w:t>
            </w:r>
          </w:p>
        </w:tc>
      </w:tr>
      <w:tr>
        <w:trPr>
          <w:cantSplit/>
          <w:tblHeader w:val="false"/>
        </w:trPr>
        <w:tc>
          <w:tcPr>
            <w:tcW w:type="dxa" w:w="2415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Invoice</w:t>
            </w:r>
          </w:p>
        </w:tc>
        <w:tc>
          <w:tcPr>
            <w:tcW w:type="dxa" w:w="3221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Factura</w:t>
            </w:r>
          </w:p>
        </w:tc>
        <w:tc>
          <w:tcPr>
            <w:tcW w:type="dxa" w:w="3724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4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Volume</w:t>
            </w:r>
          </w:p>
        </w:tc>
        <w:tc>
          <w:tcPr>
            <w:tcW w:type="dxa" w:w="322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Volumen</w:t>
            </w:r>
          </w:p>
        </w:tc>
        <w:tc>
          <w:tcPr>
            <w:tcW w:type="dxa" w:w="372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Not “bulto” or “granel”</w:t>
            </w:r>
          </w:p>
        </w:tc>
      </w:tr>
      <w:tr>
        <w:trPr>
          <w:cantSplit/>
          <w:tblHeader w:val="false"/>
        </w:trPr>
        <w:tc>
          <w:tcPr>
            <w:tcW w:type="dxa" w:w="2415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Per pound</w:t>
            </w:r>
          </w:p>
        </w:tc>
        <w:tc>
          <w:tcPr>
            <w:tcW w:type="dxa" w:w="3221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Por libra</w:t>
            </w:r>
          </w:p>
        </w:tc>
        <w:tc>
          <w:tcPr>
            <w:tcW w:type="dxa" w:w="3724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Pounds throughout — never kilos</w:t>
            </w:r>
          </w:p>
        </w:tc>
      </w:tr>
      <w:tr>
        <w:trPr>
          <w:cantSplit/>
          <w:tblHeader w:val="false"/>
        </w:trPr>
        <w:tc>
          <w:tcPr>
            <w:tcW w:type="dxa" w:w="24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Dry cleaning</w:t>
            </w:r>
          </w:p>
        </w:tc>
        <w:tc>
          <w:tcPr>
            <w:tcW w:type="dxa" w:w="322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Tintorería</w:t>
            </w:r>
          </w:p>
        </w:tc>
        <w:tc>
          <w:tcPr>
            <w:tcW w:type="dxa" w:w="372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261E"/>
                <w:sz w:val="18"/>
                <w:szCs w:val="18"/>
              </w:rPr>
              <w:t xml:space="preserve">Banned from all pages until the gate resolves</w:t>
            </w:r>
          </w:p>
        </w:tc>
      </w:tr>
    </w:tbl>
    <w:p>
      <w:pPr>
        <w:keepNext/>
        <w:pBdr>
          <w:bottom w:val="single" w:color="E8751A" w:sz="14" w:space="8"/>
        </w:pBdr>
        <w:spacing w:after="150" w:before="300" w:line="300"/>
      </w:pPr>
      <w:r>
        <w:rPr>
          <w:rFonts w:ascii="Poppins" w:cs="Poppins" w:eastAsia="Poppins" w:hAnsi="Poppins"/>
          <w:b/>
          <w:bCs/>
          <w:color w:val="1B3C6E"/>
          <w:sz w:val="30"/>
          <w:szCs w:val="30"/>
        </w:rPr>
        <w:t xml:space="preserve">7. Layout Tolerance</w:t>
      </w:r>
    </w:p>
    <w:tbl>
      <w:tblPr>
        <w:tblW w:type="dxa" w:w="9360"/>
        <w:tblBorders>
          <w:top w:val="single" w:color="D5DCE6" w:sz="4"/>
          <w:left w:val="single" w:color="D5DCE6" w:sz="4"/>
          <w:bottom w:val="single" w:color="D5DCE6" w:sz="4"/>
          <w:right w:val="single" w:color="D5DCE6" w:sz="4"/>
          <w:insideH w:val="single" w:color="D5DCE6" w:sz="4"/>
          <w:insideV w:val="single" w:color="D5DCE6" w:sz="4"/>
        </w:tblBorders>
        <w:tblLayout w:type="fixed"/>
      </w:tblPr>
      <w:tblGrid>
        <w:gridCol w:w="1812"/>
        <w:gridCol w:w="1912"/>
        <w:gridCol w:w="2214"/>
        <w:gridCol w:w="1107"/>
        <w:gridCol w:w="2315"/>
      </w:tblGrid>
      <w:tr>
        <w:trPr>
          <w:cantSplit/>
          <w:tblHeader/>
        </w:trPr>
        <w:tc>
          <w:tcPr>
            <w:tcW w:type="dxa" w:w="1812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1912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English</w:t>
            </w:r>
          </w:p>
        </w:tc>
        <w:tc>
          <w:tcPr>
            <w:tcW w:type="dxa" w:w="2214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Spanish</w:t>
            </w:r>
          </w:p>
        </w:tc>
        <w:tc>
          <w:tcPr>
            <w:tcW w:type="dxa" w:w="1107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Expansion</w:t>
            </w:r>
          </w:p>
        </w:tc>
        <w:tc>
          <w:tcPr>
            <w:tcW w:type="dxa" w:w="2315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</w:tr>
      <w:tr>
        <w:trPr>
          <w:cantSplit/>
          <w:tblHeader w:val="false"/>
        </w:trPr>
        <w:tc>
          <w:tcPr>
            <w:tcW w:type="dxa" w:w="1812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Submit button</w:t>
            </w:r>
          </w:p>
        </w:tc>
        <w:tc>
          <w:tcPr>
            <w:tcW w:type="dxa" w:w="1912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Request a quote</w:t>
            </w:r>
          </w:p>
        </w:tc>
        <w:tc>
          <w:tcPr>
            <w:tcW w:type="dxa" w:w="2214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Solicitar cotización</w:t>
            </w:r>
          </w:p>
        </w:tc>
        <w:tc>
          <w:tcPr>
            <w:tcW w:type="dxa" w:w="1107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+38%</w:t>
            </w:r>
          </w:p>
        </w:tc>
        <w:tc>
          <w:tcPr>
            <w:tcW w:type="dxa" w:w="2315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6A00"/>
                <w:sz w:val="18"/>
                <w:szCs w:val="18"/>
              </w:rPr>
              <w:t xml:space="preserve">Medium — full-width panel absorbs it</w:t>
            </w:r>
          </w:p>
        </w:tc>
      </w:tr>
      <w:tr>
        <w:trPr>
          <w:cantSplit/>
          <w:tblHeader w:val="false"/>
        </w:trPr>
        <w:tc>
          <w:tcPr>
            <w:tcW w:type="dxa" w:w="181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Segment card title</w:t>
            </w:r>
          </w:p>
        </w:tc>
        <w:tc>
          <w:tcPr>
            <w:tcW w:type="dxa" w:w="191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Offices &amp; cleaning companies</w:t>
            </w:r>
          </w:p>
        </w:tc>
        <w:tc>
          <w:tcPr>
            <w:tcW w:type="dxa" w:w="22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Oficinas y empresas de limpieza</w:t>
            </w:r>
          </w:p>
        </w:tc>
        <w:tc>
          <w:tcPr>
            <w:tcW w:type="dxa" w:w="110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+7%</w:t>
            </w:r>
          </w:p>
        </w:tc>
        <w:tc>
          <w:tcPr>
            <w:tcW w:type="dxa" w:w="23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F8F46"/>
                <w:sz w:val="18"/>
                <w:szCs w:val="18"/>
              </w:rPr>
              <w:t xml:space="preserve">Low</w:t>
            </w:r>
          </w:p>
        </w:tc>
      </w:tr>
      <w:tr>
        <w:trPr>
          <w:cantSplit/>
          <w:tblHeader w:val="false"/>
        </w:trPr>
        <w:tc>
          <w:tcPr>
            <w:tcW w:type="dxa" w:w="1812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Select option</w:t>
            </w:r>
          </w:p>
        </w:tc>
        <w:tc>
          <w:tcPr>
            <w:tcW w:type="dxa" w:w="1912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A few times a week</w:t>
            </w:r>
          </w:p>
        </w:tc>
        <w:tc>
          <w:tcPr>
            <w:tcW w:type="dxa" w:w="2214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Varias veces por semana</w:t>
            </w:r>
          </w:p>
        </w:tc>
        <w:tc>
          <w:tcPr>
            <w:tcW w:type="dxa" w:w="1107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+22%</w:t>
            </w:r>
          </w:p>
        </w:tc>
        <w:tc>
          <w:tcPr>
            <w:tcW w:type="dxa" w:w="2315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F8F46"/>
                <w:sz w:val="18"/>
                <w:szCs w:val="18"/>
              </w:rPr>
              <w:t xml:space="preserve">Low — native select truncates</w:t>
            </w:r>
          </w:p>
        </w:tc>
      </w:tr>
      <w:tr>
        <w:trPr>
          <w:cantSplit/>
          <w:tblHeader w:val="false"/>
        </w:trPr>
        <w:tc>
          <w:tcPr>
            <w:tcW w:type="dxa" w:w="181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91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Rough weekly volume</w:t>
            </w:r>
          </w:p>
        </w:tc>
        <w:tc>
          <w:tcPr>
            <w:tcW w:type="dxa" w:w="22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Volumen aproximado por semana</w:t>
            </w:r>
          </w:p>
        </w:tc>
        <w:tc>
          <w:tcPr>
            <w:tcW w:type="dxa" w:w="110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+42%</w:t>
            </w:r>
          </w:p>
        </w:tc>
        <w:tc>
          <w:tcPr>
            <w:tcW w:type="dxa" w:w="23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6A00"/>
                <w:sz w:val="18"/>
                <w:szCs w:val="18"/>
              </w:rPr>
              <w:t xml:space="preserve">Medium — label wraps at 320</w:t>
            </w:r>
          </w:p>
        </w:tc>
      </w:tr>
      <w:tr>
        <w:trPr>
          <w:cantSplit/>
          <w:tblHeader w:val="false"/>
        </w:trPr>
        <w:tc>
          <w:tcPr>
            <w:tcW w:type="dxa" w:w="1812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Step 1 heading</w:t>
            </w:r>
          </w:p>
        </w:tc>
        <w:tc>
          <w:tcPr>
            <w:tcW w:type="dxa" w:w="1912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Tell us your volume</w:t>
            </w:r>
          </w:p>
        </w:tc>
        <w:tc>
          <w:tcPr>
            <w:tcW w:type="dxa" w:w="2214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Díganos su volumen</w:t>
            </w:r>
          </w:p>
        </w:tc>
        <w:tc>
          <w:tcPr>
            <w:tcW w:type="dxa" w:w="1107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−5%</w:t>
            </w:r>
          </w:p>
        </w:tc>
        <w:tc>
          <w:tcPr>
            <w:tcW w:type="dxa" w:w="2315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F8F46"/>
                <w:sz w:val="18"/>
                <w:szCs w:val="18"/>
              </w:rPr>
              <w:t xml:space="preserve">None</w:t>
            </w:r>
          </w:p>
        </w:tc>
      </w:tr>
    </w:tbl>
    <w:p>
      <w:pPr>
        <w:keepNext w:val="false"/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Field labels sit above their inputs and are allowed to wrap to two lines — that is why the label-above pattern was chosen in Design Supplement §8.8 rather than inline or floating labels, both of which break under Spanish expansion.</w:t>
      </w:r>
    </w:p>
    <w:p>
      <w:pPr>
        <w:keepNext/>
        <w:pBdr>
          <w:bottom w:val="single" w:color="E8751A" w:sz="14" w:space="8"/>
        </w:pBdr>
        <w:spacing w:after="150" w:before="300" w:line="300"/>
      </w:pPr>
      <w:r>
        <w:rPr>
          <w:rFonts w:ascii="Poppins" w:cs="Poppins" w:eastAsia="Poppins" w:hAnsi="Poppins"/>
          <w:b/>
          <w:bCs/>
          <w:color w:val="1B3C6E"/>
          <w:sz w:val="30"/>
          <w:szCs w:val="30"/>
        </w:rPr>
        <w:t xml:space="preserve">8. Review &amp; Sign-off</w:t>
      </w:r>
    </w:p>
    <w:tbl>
      <w:tblPr>
        <w:tblW w:type="dxa" w:w="9360"/>
        <w:tblBorders>
          <w:top w:val="single" w:color="D5DCE6" w:sz="4"/>
          <w:left w:val="single" w:color="D5DCE6" w:sz="4"/>
          <w:bottom w:val="single" w:color="D5DCE6" w:sz="4"/>
          <w:right w:val="single" w:color="D5DCE6" w:sz="4"/>
          <w:insideH w:val="single" w:color="D5DCE6" w:sz="4"/>
          <w:insideV w:val="single" w:color="D5DCE6" w:sz="4"/>
        </w:tblBorders>
        <w:tblLayout w:type="fixed"/>
      </w:tblPr>
      <w:tblGrid>
        <w:gridCol w:w="2013"/>
        <w:gridCol w:w="7347"/>
      </w:tblGrid>
      <w:tr>
        <w:trPr>
          <w:cantSplit/>
          <w:tblHeader/>
        </w:trPr>
        <w:tc>
          <w:tcPr>
            <w:tcW w:type="dxa" w:w="2013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7347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</w:tr>
      <w:tr>
        <w:trPr>
          <w:cantSplit/>
          <w:tblHeader w:val="false"/>
        </w:trPr>
        <w:tc>
          <w:tcPr>
            <w:tcW w:type="dxa" w:w="201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Register consistency</w:t>
            </w:r>
          </w:p>
        </w:tc>
        <w:tc>
          <w:tcPr>
            <w:tcW w:type="dxa" w:w="7347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Usted throughout — no tú anywhere on this page, including form labels and errors</w:t>
            </w:r>
          </w:p>
        </w:tc>
      </w:tr>
      <w:tr>
        <w:trPr>
          <w:cantSplit/>
          <w:tblHeader w:val="false"/>
        </w:trPr>
        <w:tc>
          <w:tcPr>
            <w:tcW w:type="dxa" w:w="201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Native review</w:t>
            </w:r>
          </w:p>
        </w:tc>
        <w:tc>
          <w:tcPr>
            <w:tcW w:type="dxa" w:w="734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A native speaker familiar with Chicago small-business usage reads the full page</w:t>
            </w:r>
          </w:p>
        </w:tc>
      </w:tr>
      <w:tr>
        <w:trPr>
          <w:cantSplit/>
          <w:tblHeader w:val="false"/>
        </w:trPr>
        <w:tc>
          <w:tcPr>
            <w:tcW w:type="dxa" w:w="201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Trade terms</w:t>
            </w:r>
          </w:p>
        </w:tc>
        <w:tc>
          <w:tcPr>
            <w:tcW w:type="dxa" w:w="7347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Mantelería, cotización, día hábil verified with a Spanish-speaking business owner if possible</w:t>
            </w:r>
          </w:p>
        </w:tc>
      </w:tr>
      <w:tr>
        <w:trPr>
          <w:cantSplit/>
          <w:tblHeader w:val="false"/>
        </w:trPr>
        <w:tc>
          <w:tcPr>
            <w:tcW w:type="dxa" w:w="201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Fact parity</w:t>
            </w:r>
          </w:p>
        </w:tc>
        <w:tc>
          <w:tcPr>
            <w:tcW w:type="dxa" w:w="734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Every provisional value identical to the English page and identically marked</w:t>
            </w:r>
          </w:p>
        </w:tc>
      </w:tr>
      <w:tr>
        <w:trPr>
          <w:cantSplit/>
          <w:tblHeader w:val="false"/>
        </w:trPr>
        <w:tc>
          <w:tcPr>
            <w:tcW w:type="dxa" w:w="201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Form parity</w:t>
            </w:r>
          </w:p>
        </w:tc>
        <w:tc>
          <w:tcPr>
            <w:tcW w:type="dxa" w:w="7347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Field order, options and the response commitment match the English form exactly</w:t>
            </w:r>
          </w:p>
        </w:tc>
      </w:tr>
      <w:tr>
        <w:trPr>
          <w:cantSplit/>
          <w:tblHeader w:val="false"/>
        </w:trPr>
        <w:tc>
          <w:tcPr>
            <w:tcW w:type="dxa" w:w="201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Compliance</w:t>
            </w:r>
          </w:p>
        </w:tc>
        <w:tc>
          <w:tcPr>
            <w:tcW w:type="dxa" w:w="734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No dry-cleaning implication; no published price; no savings percentage</w:t>
            </w:r>
          </w:p>
        </w:tc>
      </w:tr>
      <w:tr>
        <w:trPr>
          <w:cantSplit/>
          <w:tblHeader w:val="false"/>
        </w:trPr>
        <w:tc>
          <w:tcPr>
            <w:tcW w:type="dxa" w:w="201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Layout</w:t>
            </w:r>
          </w:p>
        </w:tc>
        <w:tc>
          <w:tcPr>
            <w:tcW w:type="dxa" w:w="7347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320px Spanish screenshot clean — form labels, selects and submit all verified</w:t>
            </w:r>
          </w:p>
        </w:tc>
      </w:tr>
      <w:tr>
        <w:trPr>
          <w:cantSplit/>
          <w:tblHeader w:val="false"/>
        </w:trPr>
        <w:tc>
          <w:tcPr>
            <w:tcW w:type="dxa" w:w="201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Schema</w:t>
            </w:r>
          </w:p>
        </w:tc>
        <w:tc>
          <w:tcPr>
            <w:tcW w:type="dxa" w:w="734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Spanish FAQPage matches Spanish visible copy; no Offer</w:t>
            </w:r>
          </w:p>
        </w:tc>
      </w:tr>
    </w:tbl>
    <w:tbl>
      <w:tblPr>
        <w:tblW w:type="dxa" w:w="9360"/>
        <w:tblBorders>
          <w:top w:val="single" w:color="2E86AB" w:sz="3"/>
          <w:left w:val="single" w:color="2E86AB" w:sz="26"/>
          <w:bottom w:val="single" w:color="2E86AB" w:sz="3"/>
          <w:right w:val="single" w:color="2E86AB" w:sz="3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dxa" w:w="9360"/>
            <w:shd w:fill="E9F3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 w:line="258"/>
            </w:pPr>
            <w:r>
              <w:rPr>
                <w:rFonts w:ascii="Poppins" w:cs="Poppins" w:eastAsia="Poppins" w:hAnsi="Poppins"/>
                <w:b/>
                <w:bCs/>
                <w:color w:val="2E86AB"/>
                <w:sz w:val="18"/>
                <w:szCs w:val="18"/>
              </w:rPr>
              <w:t xml:space="preserve">THIS PAGE JOINS THE SPANISH PACK</w:t>
            </w:r>
          </w:p>
          <w:p>
            <w:pPr>
              <w:spacing w:after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Commercial is the second page of the Spanish localization pack, after Pickup &amp; Delivery. The pack is assembled as pages complete so a reviewer can sign off all eleven in one pass rather than page by page.</w:t>
            </w:r>
          </w:p>
        </w:tc>
      </w:tr>
    </w:tbl>
    <w:p>
      <w:pPr>
        <w:spacing w:after="200"/>
      </w:pPr>
    </w:p>
    <w:p>
      <w:pPr>
        <w:keepNext w:val="false"/>
        <w:spacing w:after="120" w:before="0" w:line="264"/>
        <w:jc w:val="center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A7686"/>
          <w:sz w:val="20"/>
          <w:szCs w:val="20"/>
        </w:rPr>
        <w:t xml:space="preserve">End of document.</w:t>
      </w:r>
    </w:p>
    <w:p>
      <w:pPr>
        <w:keepNext w:val="false"/>
        <w:spacing w:after="120" w:before="0" w:line="264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A7686"/>
          <w:sz w:val="15"/>
          <w:szCs w:val="15"/>
        </w:rPr>
        <w:t xml:space="preserve">Laundry Station — Commercial Spanish Restatement Guide v1.0  ·  TradeWorks AI  ·  July 2026</w:t>
      </w:r>
    </w:p>
    <w:sectPr>
      <w:headerReference w:type="default" r:id="rId7"/>
      <w:footerReference w:type="default" r:id="rId8"/>
      <w:pgSz w:w="12240" w:h="15840" w:orient="portrait"/>
      <w:pgMar w:top="1440" w:right="1440" w:bottom="1260" w:left="1440" w:header="680" w:footer="6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CE6" w:sz="3" w:space="6"/>
      </w:pBdr>
      <w:tabs>
        <w:tab w:val="right" w:pos="9360"/>
      </w:tabs>
      <w:spacing w:after="0" w:before="0" w:line="240"/>
    </w:pPr>
    <w:r>
      <w:rPr>
        <w:rFonts w:ascii="Arial" w:cs="Arial" w:eastAsia="Arial" w:hAnsi="Arial"/>
        <w:color w:val="6A7686"/>
        <w:sz w:val="14"/>
        <w:szCs w:val="14"/>
      </w:rPr>
      <w:t xml:space="preserve">TradeWorks AI  ·  Client Confidential</w:t>
    </w:r>
    <w:r>
      <w:ptab w:alignment="right" w:relativeTo="margin" w:leader="none"/>
    </w:r>
    <w:r>
      <w:rPr>
        <w:rFonts w:ascii="Arial" w:cs="Arial" w:eastAsia="Arial" w:hAnsi="Arial"/>
        <w:color w:val="6A7686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CE6" w:sz="3" w:space="6"/>
      </w:pBdr>
      <w:tabs>
        <w:tab w:val="right" w:pos="9360"/>
      </w:tabs>
      <w:spacing w:after="0" w:line="240"/>
    </w:pPr>
    <w:r>
      <w:rPr>
        <w:rFonts w:ascii="Poppins" w:cs="Poppins" w:eastAsia="Poppins" w:hAnsi="Poppins"/>
        <w:b/>
        <w:bCs/>
        <w:color w:val="1B3C6E"/>
        <w:sz w:val="15"/>
        <w:szCs w:val="15"/>
      </w:rPr>
      <w:t xml:space="preserve">LAUNDRY STATION</w:t>
    </w:r>
    <w:r>
      <w:ptab w:alignment="right" w:relativeTo="margin" w:leader="none"/>
    </w:r>
    <w:r>
      <w:rPr>
        <w:rFonts w:ascii="Arial" w:cs="Arial" w:eastAsia="Arial" w:hAnsi="Arial"/>
        <w:color w:val="6A7686"/>
        <w:sz w:val="15"/>
        <w:szCs w:val="15"/>
      </w:rPr>
      <w:t xml:space="preserve">Commercial Spanish Guide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5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5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5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5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5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6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6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6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6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6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7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7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7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7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7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8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8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8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8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8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8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8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8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8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9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9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364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Laundry Station — Commercial Spanish Guide v1.0</dc:title>
  <dc:creator>TradeWorks AI</dc:creator>
  <dc:description>Laundry Station — Website Content Strategy &amp; Plan v1.0</dc:description>
  <cp:lastModifiedBy>Un-named</cp:lastModifiedBy>
  <cp:revision>1</cp:revision>
  <dcterms:created xsi:type="dcterms:W3CDTF">2026-07-29T16:44:33.115Z</dcterms:created>
  <dcterms:modified xsi:type="dcterms:W3CDTF">2026-07-29T16:44:33.115Z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