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pacing w:after="160"/>
      </w:pPr>
      <w:r>
        <w:rPr>
          <w:rFonts w:ascii="Poppins" w:cs="Poppins" w:eastAsia="Poppins" w:hAnsi="Poppins"/>
          <w:b/>
          <w:bCs/>
          <w:caps/>
          <w:color w:val="2E86AB"/>
          <w:sz w:val="18"/>
          <w:szCs w:val="18"/>
        </w:rPr>
        <w:t xml:space="preserve">TradeWorks AI · Digital Marketing Arm · Client Engagement</w:t>
      </w:r>
    </w:p>
    <w:p>
      <w:pPr>
        <w:spacing w:after="40" w:line="340"/>
      </w:pPr>
      <w:r>
        <w:rPr>
          <w:rFonts w:ascii="Poppins" w:cs="Poppins" w:eastAsia="Poppins" w:hAnsi="Poppins"/>
          <w:b/>
          <w:bCs/>
          <w:color w:val="1B3C6E"/>
          <w:sz w:val="50"/>
          <w:szCs w:val="50"/>
        </w:rPr>
        <w:t xml:space="preserve">Laundry Station</w:t>
      </w:r>
    </w:p>
    <w:p>
      <w:pPr>
        <w:spacing w:after="40" w:line="340"/>
      </w:pPr>
      <w:r>
        <w:rPr>
          <w:rFonts w:ascii="Poppins" w:cs="Poppins" w:eastAsia="Poppins" w:hAnsi="Poppins"/>
          <w:b/>
          <w:bCs/>
          <w:color w:val="1B3C6E"/>
          <w:sz w:val="50"/>
          <w:szCs w:val="50"/>
        </w:rPr>
        <w:t xml:space="preserve">Homepage Developer Guide</w:t>
      </w:r>
    </w:p>
    <w:p>
      <w:pPr>
        <w:pBdr>
          <w:bottom w:val="single" w:color="E8751A" w:sz="18" w:space="10"/>
        </w:pBdr>
        <w:spacing w:after="40" w:before="60"/>
      </w:pPr>
    </w:p>
    <w:p>
      <w:pPr>
        <w:spacing w:after="60" w:before="180" w:line="300"/>
      </w:pPr>
      <w:r>
        <w:rPr>
          <w:rFonts w:ascii="Poppins" w:cs="Poppins" w:eastAsia="Poppins" w:hAnsi="Poppins"/>
          <w:color w:val="2B3646"/>
          <w:sz w:val="24"/>
          <w:szCs w:val="24"/>
        </w:rPr>
        <w:t xml:space="preserve">Block-by-block build spec for the homepage — copy, head, schema, design tokens, and tracking.</w:t>
      </w:r>
    </w:p>
    <w:p>
      <w:pPr>
        <w:spacing w:after="60" w:line="288"/>
      </w:pPr>
      <w:r>
        <w:rPr>
          <w:rFonts w:ascii="Arial" w:cs="Arial" w:eastAsia="Arial" w:hAnsi="Arial"/>
          <w:color w:val="6A7686"/>
          <w:sz w:val="20"/>
          <w:szCs w:val="20"/>
        </w:rPr>
        <w:t xml:space="preserve">6043 W Addison St, Chicago, IL 60634  ·  /  and  /es/  ·  English + Spanish</w:t>
      </w:r>
    </w:p>
    <w:p>
      <w:pPr>
        <w:spacing w:after="3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5DCE6" w:sz="3"/>
          <w:insideV w:val="none"/>
        </w:tblBorders>
        <w:tblLayout w:type="fixed"/>
      </w:tblPr>
      <w:tblGrid>
        <w:gridCol w:w="2434"/>
        <w:gridCol w:w="6926"/>
      </w:tblGrid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Version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3.0  ·  July 2026  —  supersedes v2.0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Booking platform confirmed as Cents · Polish dropped (English + Spanish only) · aligned to Content Strategy v1.0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Page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Homepage — / (English) and /es/ (Spanish), static server-rendered HTML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Builds on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Content Strategy v1.0 · Website Strategy v1.0 (design system) · Discovery Brief v2.0 · Competitive Benchmark v1.0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Brand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This document is TradeWorks house brand; the site itself uses the Laundry Station logo-sampled brand (§7)</w:t>
            </w:r>
          </w:p>
        </w:tc>
      </w:tr>
      <w:tr>
        <w:tc>
          <w:tcPr>
            <w:tcW w:type="dxa" w:w="2434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1B3C6E"/>
                <w:sz w:val="18"/>
                <w:szCs w:val="18"/>
              </w:rPr>
              <w:t xml:space="preserve">Status</w:t>
            </w:r>
          </w:p>
        </w:tc>
        <w:tc>
          <w:tcPr>
            <w:tcW w:type="dxa" w:w="6926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2B3646"/>
                <w:sz w:val="18"/>
                <w:szCs w:val="18"/>
              </w:rPr>
              <w:t xml:space="preserve">Ready to build. Booking platform closed; remaining inputs are owner-provided SWAP tokens (§9)</w:t>
            </w:r>
          </w:p>
        </w:tc>
      </w:tr>
    </w:tbl>
    <w:p>
      <w:r>
        <w:br w:type="page"/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Contents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1. Page Identity &amp; Purpose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3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1.1 What this page is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3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1.2 Who it is for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3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1.3 Primary and secondary queries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3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2. Keyword &amp; AEO Strategy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4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3. The Document Head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4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3.1 Title and meta description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4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3.2 Canonical and hreflang (English + Spanish)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5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3.3 Open Graph and Twitter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5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3.4 Fonts and performance hints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5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4. Structured Data — Four JSON-LD Blocks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6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4.1 Block A — DryCleaningOrLaundry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6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4.2 Block B — WebPage + Speakable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7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4.3 Block C — BreadcrumbList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7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4.4 Block D — FAQPage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7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5. Block-by-Block Content &amp; Design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8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5.1 Block 1 — Sticky header &amp; navigation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8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5.2 Block 2 — Hero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8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5.3 Block 3 — Trust strip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9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5.4 Block 4 — Services grid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9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5.5 Block 5 — The Board preview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10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5.6 Block 6 — Why choose us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10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5.7 Block 7 — Pickup &amp; Delivery steps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10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5.8 Block 8 — Oversized &amp; Household highlight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11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5.9 Block 9 — Neighbourhoods &amp; map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11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5.10 Block 10 — FAQ preview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11</w:t>
      </w:r>
    </w:p>
    <w:p>
      <w:pPr>
        <w:tabs>
          <w:tab w:val="right" w:pos="9360" w:leader="dot"/>
        </w:tabs>
        <w:spacing w:after="20" w:line="258"/>
        <w:ind w:left="300"/>
      </w:pPr>
      <w:r>
        <w:rPr>
          <w:rFonts w:ascii="Arial" w:cs="Arial" w:eastAsia="Arial" w:hAnsi="Arial"/>
          <w:b w:val="false"/>
          <w:bCs w:val="false"/>
          <w:color w:val="2B3646"/>
          <w:sz w:val="17"/>
          <w:szCs w:val="17"/>
        </w:rPr>
        <w:t xml:space="preserve">5.11 Block 11 — Final conversion &amp; footer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color w:val="6A7686"/>
          <w:sz w:val="17"/>
          <w:szCs w:val="17"/>
        </w:rPr>
        <w:t xml:space="preserve">11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6. The Booking CTA — Cents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12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7. Brand &amp; Design System Applied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12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8. Analytics &amp; Event Tracking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13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9. SWAP Token Register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14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10. Accessibility &amp; Performance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15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11. Implementation Checklist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15</w:t>
      </w:r>
    </w:p>
    <w:p>
      <w:pPr>
        <w:tabs>
          <w:tab w:val="right" w:pos="9360" w:leader="dot"/>
        </w:tabs>
        <w:spacing w:after="40" w:line="258"/>
      </w:pPr>
      <w:r>
        <w:rPr>
          <w:rFonts w:ascii="Poppins" w:cs="Poppins" w:eastAsia="Poppins" w:hAnsi="Poppins"/>
          <w:b/>
          <w:bCs/>
          <w:color w:val="1B3C6E"/>
          <w:sz w:val="19"/>
          <w:szCs w:val="19"/>
        </w:rPr>
        <w:t xml:space="preserve">12. Open Items &amp; Blockers</w:t>
      </w:r>
      <w:r>
        <w:rPr>
          <w:color w:val="6A7686"/>
          <w:sz w:val="17"/>
          <w:szCs w:val="17"/>
        </w:rPr>
        <w:ptab w:alignment="right" w:relativeTo="margin" w:leader="dot"/>
      </w:r>
      <w:r>
        <w:rPr>
          <w:rFonts w:ascii="Arial" w:cs="Arial" w:eastAsia="Arial" w:hAnsi="Arial"/>
          <w:b/>
          <w:bCs/>
          <w:color w:val="1B3C6E"/>
          <w:sz w:val="17"/>
          <w:szCs w:val="17"/>
        </w:rPr>
        <w:t xml:space="preserve">16</w:t>
      </w:r>
    </w:p>
    <w:p>
      <w:r>
        <w:br w:type="page"/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1. Page Identity &amp; Purpose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1.1 What this page is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The homepage is the front door and the reliability argument in miniature.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It has to answer one question fast for a visitor who may have seen the old reviews on this address: is this place any good now? Every block ladders up to the same answer — the machines are serviced and working, the prices are posted, and you can have it done for you. The positioning is fixed in one line: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“Fixed. Posted. Done for you.”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912"/>
        <w:gridCol w:w="7448"/>
      </w:tblGrid>
      <w:tr>
        <w:trPr>
          <w:cantSplit/>
          <w:tblHeader/>
        </w:trPr>
        <w:tc>
          <w:tcPr>
            <w:tcW w:type="dxa" w:w="1912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448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URL</w:t>
            </w:r>
          </w:p>
        </w:tc>
        <w:tc>
          <w:tcPr>
            <w:tcW w:type="dxa" w:w="744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/  (English)   ·   /es/  (Spanish)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Template</w:t>
            </w:r>
          </w:p>
        </w:tc>
        <w:tc>
          <w:tcPr>
            <w:tcW w:type="dxa" w:w="74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Static, server-rendered HTML. No SPA shell (§10, §8 of the Content Strategy)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Role</w:t>
            </w:r>
          </w:p>
        </w:tc>
        <w:tc>
          <w:tcPr>
            <w:tcW w:type="dxa" w:w="744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Front door; routes intent to the six service pages, The Board, and the conversion paths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Signature element</w:t>
            </w:r>
          </w:p>
        </w:tc>
        <w:tc>
          <w:tcPr>
            <w:tcW w:type="dxa" w:w="74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Board is previewed here and lives in full on /pricing/ (§5.5)</w:t>
            </w:r>
          </w:p>
        </w:tc>
      </w:tr>
      <w:tr>
        <w:trPr>
          <w:cantSplit/>
          <w:tblHeader w:val="false"/>
        </w:trPr>
        <w:tc>
          <w:tcPr>
            <w:tcW w:type="dxa" w:w="19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Status</w:t>
            </w:r>
          </w:p>
        </w:tc>
        <w:tc>
          <w:tcPr>
            <w:tcW w:type="dxa" w:w="744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Guide v3.0 — ready to build; paired wireframe delivered</w:t>
            </w:r>
          </w:p>
        </w:tc>
      </w:tr>
    </w:tbl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1.2 Who it is for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store sits on a demographic seam. North and west (Dunning, Portage Park) is more owner-occupied and higher-income; south and east (Belmont Cragin) is denser, renter-heavier, and heavily Spanish-speaking. The homepage has to sell to both without either audience feeling the page was written for the other one. That is why the two co-leading services are the done-for-you ones (Wash &amp; Fold, Pickup &amp; Delivery) and why the Spanish site is a native build, not an afterthought.</w:t>
      </w:r>
    </w:p>
    <w:tbl>
      <w:tblPr>
        <w:tblW w:type="dxa" w:w="9360"/>
        <w:tblBorders>
          <w:top w:val="single" w:color="2E86AB" w:sz="3"/>
          <w:left w:val="single" w:color="2E86AB" w:sz="26"/>
          <w:bottom w:val="single" w:color="2E86AB" w:sz="3"/>
          <w:right w:val="single" w:color="2E86AB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9F3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E86AB"/>
                <w:sz w:val="18"/>
                <w:szCs w:val="18"/>
              </w:rPr>
              <w:t xml:space="preserve">THE REPUTATION PROBLEM SETS THE TONE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Searches on this address can still surface the previous operators’ decline. The homepage never mentions the past directly — it answers it by showing serviced machines, posted prices, and a dated ownership change stated as fact. It does not apologise for the predecessor and it never runs an “under new management” banner (§5.3).</w:t>
            </w:r>
          </w:p>
        </w:tc>
      </w:tr>
    </w:tbl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1.3 Primary and secondary queries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308"/>
        <w:gridCol w:w="4026"/>
        <w:gridCol w:w="4026"/>
      </w:tblGrid>
      <w:tr>
        <w:trPr>
          <w:cantSplit/>
          <w:tblHeader/>
        </w:trPr>
        <w:tc>
          <w:tcPr>
            <w:tcW w:type="dxa" w:w="1308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026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4026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Where it is answered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Primary</w:t>
            </w:r>
          </w:p>
        </w:tc>
        <w:tc>
          <w:tcPr>
            <w:tcW w:type="dxa" w:w="402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laundromat near me · laundromat 60634</w:t>
            </w:r>
          </w:p>
        </w:tc>
        <w:tc>
          <w:tcPr>
            <w:tcW w:type="dxa" w:w="402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Hero H1 + LocalBusiness schema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Primary</w:t>
            </w:r>
          </w:p>
        </w:tc>
        <w:tc>
          <w:tcPr>
            <w:tcW w:type="dxa" w:w="4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laundromat Dunning / Portage Park</w:t>
            </w:r>
          </w:p>
        </w:tc>
        <w:tc>
          <w:tcPr>
            <w:tcW w:type="dxa" w:w="4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Hero, neighbourhoods block, areaServed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Secondary</w:t>
            </w:r>
          </w:p>
        </w:tc>
        <w:tc>
          <w:tcPr>
            <w:tcW w:type="dxa" w:w="402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wash and fold near me</w:t>
            </w:r>
          </w:p>
        </w:tc>
        <w:tc>
          <w:tcPr>
            <w:tcW w:type="dxa" w:w="402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Services grid card + link to /services/wash-and-fold/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Secondary</w:t>
            </w:r>
          </w:p>
        </w:tc>
        <w:tc>
          <w:tcPr>
            <w:tcW w:type="dxa" w:w="4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laundry pickup and delivery Chicago</w:t>
            </w:r>
          </w:p>
        </w:tc>
        <w:tc>
          <w:tcPr>
            <w:tcW w:type="dxa" w:w="4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Pickup &amp; Delivery steps block + link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Secondary</w:t>
            </w:r>
          </w:p>
        </w:tc>
        <w:tc>
          <w:tcPr>
            <w:tcW w:type="dxa" w:w="402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coin laundry / self-service near me</w:t>
            </w:r>
          </w:p>
        </w:tc>
        <w:tc>
          <w:tcPr>
            <w:tcW w:type="dxa" w:w="402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Services grid + The Board preview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Secondary</w:t>
            </w:r>
          </w:p>
        </w:tc>
        <w:tc>
          <w:tcPr>
            <w:tcW w:type="dxa" w:w="4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where to wash a comforter Chicago</w:t>
            </w:r>
          </w:p>
        </w:tc>
        <w:tc>
          <w:tcPr>
            <w:tcW w:type="dxa" w:w="4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Oversized &amp; Household highlight</w:t>
            </w:r>
          </w:p>
        </w:tc>
      </w:tr>
      <w:tr>
        <w:trPr>
          <w:cantSplit/>
          <w:tblHeader w:val="false"/>
        </w:trPr>
        <w:tc>
          <w:tcPr>
            <w:tcW w:type="dxa" w:w="130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Long-tail</w:t>
            </w:r>
          </w:p>
        </w:tc>
        <w:tc>
          <w:tcPr>
            <w:tcW w:type="dxa" w:w="402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hours, payment, largest machine, delivery area</w:t>
            </w:r>
          </w:p>
        </w:tc>
        <w:tc>
          <w:tcPr>
            <w:tcW w:type="dxa" w:w="402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FAQ preview + link to /faq/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One primary intent owns the page — “the reliable laundromat in 60634” — and every secondary query routes to the page built to rank for it. The homepage does not try to rank for a service term a dedicated service page already owns; it hands the visitor off.</w:t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2. Keyword &amp; AEO Strategy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homepage is written to be found by classic search and lifted by AI answer engines (ChatGPT, Perplexity, Google AI Overviews). Those engines quote the first clear, attributable answer on a page, so the hero opens by answering the exact question the page targets before any marketing language.</w:t>
      </w:r>
    </w:p>
    <w:p>
      <w:pPr>
        <w:keepNext/>
        <w:spacing w:after="90" w:before="200" w:line="276"/>
      </w:pPr>
      <w:r>
        <w:rPr>
          <w:rFonts w:ascii="Poppins" w:cs="Poppins" w:eastAsia="Poppins" w:hAnsi="Poppins"/>
          <w:b/>
          <w:bCs/>
          <w:color w:val="2E86AB"/>
          <w:sz w:val="20"/>
          <w:szCs w:val="20"/>
        </w:rPr>
        <w:t xml:space="preserve">The answer-first hero pattern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H1:  &lt;the primary query, answered as a plain statement&gt;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P1:  &lt;one sentence: what the store is, where it is, and the key fact&gt;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Applied: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H1:  "A laundromat in Chicago’s 60634 where every machine works"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P1:  "Laundry Station is at 6043 W Addison St — self-service on serviced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  machines, plus wash &amp; fold and pickup &amp; delivery done for you."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One clear answer, high on the page.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first 155 characters of visible body text state what the store is, where, and why it is dependable. No hedging, no slogan-first opening.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Speakable schema marks the answer.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WebPage + Speakable block (§4.2) points at the hero H1 and P1 so voice assistants read the right sentences.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Attribution is unambiguous.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business name, address, and DryCleaningOrLaundry type are in schema on first byte, so an engine that lifts the answer knows who is answering.</w:t>
      </w:r>
    </w:p>
    <w:p>
      <w:pPr>
        <w:pStyle w:val="ListParagraph"/>
        <w:numPr>
          <w:ilvl w:val="0"/>
          <w:numId w:val="2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No fabricated proof.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No star rating, review count, or “trusted by N customers” claim anywhere — an invented number is a stop-ship failure and poisons AEO trust (§9, §10).</w:t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3. The Document Head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Everything in the head is emitted server-side into the static HTML. Titles and descriptions carry the primary query; the copy stays inside the locked vocabulary (no “flat-rate,” no “save X%,” no “nationwide,” no unqualified “EBT accepted”).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3.1 Title and meta description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&lt;title&gt;Laundromat in Chicago 60634 | Laundry Station — 6043 W Addison&lt;/title&gt;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&lt;meta name="description" content="Laundry Station at 6043 W Addison St,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Chicago. Self-service on serviced machines, plus wash &amp; fold and pickup &amp;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delivery. Prices posted. Se habla español."&gt;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&lt;!-- Spanish (/es/) --&gt;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&lt;title&gt;Lavandería en Chicago 60634 | Laundry Station — 6043 W Addison&lt;/title&gt;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&lt;meta name="description" content="Laundry Station en 6043 W Addison St,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Chicago. Autoservicio en máquinas revisadas, más lavado y doblado y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recolección y entrega. Precios publicados. Se habla español."&gt;</w:t>
            </w:r>
          </w:p>
        </w:tc>
      </w:tr>
    </w:tbl>
    <w:tbl>
      <w:tblPr>
        <w:tblW w:type="dxa" w:w="9360"/>
        <w:tblBorders>
          <w:top w:val="single" w:color="2E86AB" w:sz="3"/>
          <w:left w:val="single" w:color="2E86AB" w:sz="26"/>
          <w:bottom w:val="single" w:color="2E86AB" w:sz="3"/>
          <w:right w:val="single" w:color="2E86AB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9F3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E86AB"/>
                <w:sz w:val="18"/>
                <w:szCs w:val="18"/>
              </w:rPr>
              <w:t xml:space="preserve">LIMITS &amp; RULES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Title ≤ 60 characters, description ≤ 155.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Both lead with the query and the place. The description states a verifiable fact set only — no rating, no superlative, no savings claim. “Prices posted” is the value line, never “lowest” or “cheapest.”</w:t>
            </w:r>
          </w:p>
        </w:tc>
      </w:tr>
    </w:tbl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3.2 Canonical and hreflang (English + Spanish)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Two locales only. English is the default; Spanish mirrors under /es/. There is no third locale — do not emit any /pl/ URL, hreflang entry, or switcher item.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&lt;link rel="canonical" href="https://{{DOMAIN}}/"&gt;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&lt;link rel="alternate" hreflang="en"        href="https://{{DOMAIN}}/"&gt;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&lt;link rel="alternate" hreflang="es"        href="https://{{DOMAIN}}/es/"&gt;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&lt;link rel="alternate" hreflang="x-default" href="https://{{DOMAIN}}/"&gt;</w:t>
            </w:r>
          </w:p>
        </w:tc>
      </w:tr>
    </w:tbl>
    <w:tbl>
      <w:tblPr>
        <w:tblW w:type="dxa" w:w="9360"/>
        <w:tblBorders>
          <w:top w:val="single" w:color="B26A00" w:sz="3"/>
          <w:left w:val="single" w:color="B26A00" w:sz="26"/>
          <w:bottom w:val="single" w:color="B26A00" w:sz="3"/>
          <w:right w:val="single" w:color="B26A00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BF1E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B26A00"/>
                <w:sz w:val="18"/>
                <w:szCs w:val="18"/>
              </w:rPr>
              <w:t xml:space="preserve">CHANGE FROM v2.0 — POLISH IS DROPPED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site is English + Spanish only.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v2.0 “Polish-ready” third-locale slot is removed: no /pl/ hreflang, no reserved emitter slot, no third item in the language switcher. The switcher is exactly EN | ES (§5.1). Spanish is a native build (§7 of the Content Strategy), not a machine translation.</w:t>
            </w:r>
          </w:p>
        </w:tc>
      </w:tr>
    </w:tbl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3.3 Open Graph and Twitter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&lt;meta property="og:type"    content="website"&gt;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&lt;meta property="og:url"     content="https://{{DOMAIN}}/"&gt;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&lt;meta property="og:title"   content="Laundry Station — a laundromat in 60634 where every machine works"&gt;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&lt;meta property="og:description" content="Self-service, wash &amp; fold, and pickup &amp; delivery at 6043 W Addison St. Prices posted."&gt;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&lt;meta property="og:image"   content="https://{{DOMAIN}}/img/og-home.jpg"&gt;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&lt;meta property="og:locale"  content="en_US"&gt;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&lt;meta property="og:locale:alternate" content="es_US"&gt;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&lt;meta name="twitter:card"   content="summary_large_image"&gt;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&lt;meta name="twitter:image"  content="https://{{DOMAIN}}/img/og-home.jpg"&gt;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og:image is 1200×630, under 200KB, and shows the real machine floor — not the logo on a colour field. The share preview is often the first thing anyone sees of this business, and a logo card tells them nothing about whether the machines work. Real photography is a soft blocker (§9); until it exists, the slot holds a placeholder, never stock of someone else’s machines.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3.4 Fonts and performance hints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Two families, locked in the design system (§7): Archivo for display/headings, Inter for body and UI. Preload the weights used above the fold to prevent a flash of unstyled text.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&lt;meta name="theme-color" content="#0C479C"&gt;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&lt;link rel="preconnect" href="https://fonts.googleapis.com"&gt;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&lt;link rel="preconnect" href="https://fonts.gstatic.com" crossorigin&gt;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&lt;link rel="preload" as="font" type="font/woff2" crossorigin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href="/fonts/archivo-600.woff2"&gt;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&lt;link rel="preload" as="font" type="font/woff2" crossorigin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href="/fonts/inter-400.woff2"&gt;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/* font-face declarations use font-display: swap */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4. Structured Data — Four JSON-LD Blocks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Exactly four JSON-LD blocks ship on the homepage, all emitted server-side into the static HTML and never injected by script. No LocalBusiness rating property and no aggregateRating appear until 25 genuine Google reviews exist and render on the page.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805"/>
        <w:gridCol w:w="4026"/>
        <w:gridCol w:w="4529"/>
      </w:tblGrid>
      <w:tr>
        <w:trPr>
          <w:cantSplit/>
          <w:tblHeader/>
        </w:trPr>
        <w:tc>
          <w:tcPr>
            <w:tcW w:type="dxa" w:w="805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4026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29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80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</w:t>
            </w:r>
          </w:p>
        </w:tc>
        <w:tc>
          <w:tcPr>
            <w:tcW w:type="dxa" w:w="402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DryCleaningOrLaundry (LocalBusiness)</w:t>
            </w:r>
          </w:p>
        </w:tc>
        <w:tc>
          <w:tcPr>
            <w:tcW w:type="dxa" w:w="452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shared business object — NAP, geo, hours, languages, service catalog</w:t>
            </w:r>
          </w:p>
        </w:tc>
      </w:tr>
      <w:tr>
        <w:trPr>
          <w:cantSplit/>
          <w:tblHeader w:val="false"/>
        </w:trPr>
        <w:tc>
          <w:tcPr>
            <w:tcW w:type="dxa" w:w="8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</w:t>
            </w:r>
          </w:p>
        </w:tc>
        <w:tc>
          <w:tcPr>
            <w:tcW w:type="dxa" w:w="4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WebPage + Speakable</w:t>
            </w:r>
          </w:p>
        </w:tc>
        <w:tc>
          <w:tcPr>
            <w:tcW w:type="dxa" w:w="45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Marks the hero answer for voice / AI answer engines</w:t>
            </w:r>
          </w:p>
        </w:tc>
      </w:tr>
      <w:tr>
        <w:trPr>
          <w:cantSplit/>
          <w:tblHeader w:val="false"/>
        </w:trPr>
        <w:tc>
          <w:tcPr>
            <w:tcW w:type="dxa" w:w="80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</w:t>
            </w:r>
          </w:p>
        </w:tc>
        <w:tc>
          <w:tcPr>
            <w:tcW w:type="dxa" w:w="402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BreadcrumbList</w:t>
            </w:r>
          </w:p>
        </w:tc>
        <w:tc>
          <w:tcPr>
            <w:tcW w:type="dxa" w:w="4529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Site position (Home root)</w:t>
            </w:r>
          </w:p>
        </w:tc>
      </w:tr>
      <w:tr>
        <w:trPr>
          <w:cantSplit/>
          <w:tblHeader w:val="false"/>
        </w:trPr>
        <w:tc>
          <w:tcPr>
            <w:tcW w:type="dxa" w:w="8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</w:t>
            </w:r>
          </w:p>
        </w:tc>
        <w:tc>
          <w:tcPr>
            <w:tcW w:type="dxa" w:w="4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FAQPage</w:t>
            </w:r>
          </w:p>
        </w:tc>
        <w:tc>
          <w:tcPr>
            <w:tcW w:type="dxa" w:w="45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Mirrors the on-page FAQ preview exactly</w:t>
            </w:r>
          </w:p>
        </w:tc>
      </w:tr>
    </w:tbl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4.1 Block A — DryCleaningOrLaundry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{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"@context": "https://schema.org",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"@type": "DryCleaningOrLaundry",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"@id": "https://{{DOMAIN}}/#business",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"name": "Laundry Station",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"url": "https://{{DOMAIN}}/",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"telephone": "{{PHONE_E164}}",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"image": "https://{{DOMAIN}}/img/storefront.jpg",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"logo": "https://{{DOMAIN}}/img/logo.svg",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"priceRange": "$",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"currenciesAccepted": "USD",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"paymentAccepted": "{{PAYMENT_METHODS}}",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"address": {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"@type": "PostalAddress",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"streetAddress": "6043 W Addison St",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"addressLocality": "Chicago", "addressRegion": "IL",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"postalCode": "60634", "addressCountry": "US"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},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"geo": { "@type": "GeoCoordinates",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     "latitude": 41.94541, "longitude": -87.77826 },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"openingHoursSpecification": [{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"@type": "OpeningHoursSpecification",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"dayOfWeek": ["Monday","Tuesday","Wednesday","Thursday","Friday","Saturday","Sunday"],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"opens": "{{OPEN}}", "closes": "{{CLOSE}}"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}],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"areaServed": [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{"@type":"Place","name":"Dunning, Chicago"},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{"@type":"Place","name":"Portage Park, Chicago"},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{"@type":"Place","name":"Belmont Cragin, Chicago"},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{"@type":"Place","name":"Montclare, Chicago"}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],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"availableLanguage": ["en","es"],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"sameAs": [ {{SOCIAL_URLS}} ],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"hasOfferCatalog": {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"@type": "OfferCatalog", "name": "Laundry services",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"itemListElement": [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{"@type":"Offer","itemOffered":{"@type":"Service","name":"Wash and fold laundry"}},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{"@type":"Offer","itemOffered":{"@type":"Service","name":"Laundry pickup and delivery"}},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{"@type":"Offer","itemOffered":{"@type":"Service","name":"Self-service laundry"}},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{"@type":"Offer","itemOffered":{"@type":"Service","name":"Commercial laundry"}},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{"@type":"Offer","itemOffered":{"@type":"Service","name":"Oversized and household item laundry"}},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{"@type":"Offer","itemOffered":{"@type":"Service","name":"Ironing and pressing"}}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]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}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B3261E" w:sz="3"/>
          <w:left w:val="single" w:color="B3261E" w:sz="26"/>
          <w:bottom w:val="single" w:color="B3261E" w:sz="3"/>
          <w:right w:val="single" w:color="B3261E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BEB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B3261E"/>
                <w:sz w:val="18"/>
                <w:szCs w:val="18"/>
              </w:rPr>
              <w:t xml:space="preserve">NO RATING AT LAUNCH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 aggregateRating and no review property ships until 25 real Google reviews exist and display.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availableLanguage lists en and es only — never pl. The service catalog lists the six services; no dry-cleaning offer appears until that question resolves (Content Strategy §5.14).</w:t>
            </w:r>
          </w:p>
        </w:tc>
      </w:tr>
    </w:tbl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4.2 Block B — WebPage + Speakable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{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"@context": "https://schema.org",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"@type": "WebPage",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"@id": "https://{{DOMAIN}}/#webpage",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"url": "https://{{DOMAIN}}/",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"name": "Laundry Station — laundromat in Chicago 60634",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"inLanguage": "en",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"isPartOf": { "@id": "https://{{DOMAIN}}/#business" },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"speakable": {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"@type": "SpeakableSpecification",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"cssSelector": ["h1.hero__title", "p.hero__lede"]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}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}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Spanish page emits the same block with "inLanguage": "es" and its own url. The cssSelector points at the hero H1 and lede so an assistant reads the answer-first sentences, not a nav label.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4.3 Block C — BreadcrumbList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{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"@context": "https://schema.org",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"@type": "BreadcrumbList",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"itemListElement": [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{"@type":"ListItem","position":1,"name":"Home","item":"https://{{DOMAIN}}/"}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]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}</w:t>
            </w:r>
          </w:p>
        </w:tc>
      </w:tr>
    </w:tbl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4.4 Block D — FAQPage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FAQPage markup must contain exactly the questions and answers shown in the Block 10 FAQ preview (§5.10) — same wording, no extra questions in the markup. Mismatched FAQ schema is a manual-action risk.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{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"@context": "https://schema.org",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"@type": "FAQPage",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"mainEntity": [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{"@type":"Question","name":"What are your hours?",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"acceptedAnswer":{"@type":"Answer","text":"{{HOURS_SENTENCE}}"}},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{"@type":"Question","name":"What payment methods do you accept?",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"acceptedAnswer":{"@type":"Answer","text":"{{PAYMENT_SENTENCE}}"}},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{"@type":"Question","name":"What is the largest machine — will my comforter fit?",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"acceptedAnswer":{"@type":"Answer","text":"{{LARGEST_MACHINE_SENTENCE}}"}},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{"@type":"Question","name":"Do you offer pickup and delivery, and where?",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"acceptedAnswer":{"@type":"Answer","text":"{{DELIVERY_AREA_SENTENCE}}"}}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]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}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5. Block-by-Block Content &amp; Design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Eleven blocks, top to bottom. Each lists its purpose, the copy (unknowns as SWAP tokens), the layout in design-system tokens, and the rules it must honour. No component uses a raw hex, pixel, radius or duration — everything references the token file (§7). No eyebrow/kicker line ever sits above a heading.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5.1 Block 1 — Sticky header &amp; navigation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Purpose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Orient, and keep the primary action one tap away at every scroll position.</w:t>
      </w:r>
    </w:p>
    <w:p>
      <w:pPr>
        <w:pStyle w:val="ListParagraph"/>
        <w:numPr>
          <w:ilvl w:val="0"/>
          <w:numId w:val="3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Left: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Laundry Station logo, links to /.</w:t>
      </w:r>
    </w:p>
    <w:p>
      <w:pPr>
        <w:pStyle w:val="ListParagraph"/>
        <w:numPr>
          <w:ilvl w:val="0"/>
          <w:numId w:val="3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Nav (desktop):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five items — Services (dropdown of all six service pages, never truncated with “and more”), Pricing, About, FAQ, Contact.</w:t>
      </w:r>
    </w:p>
    <w:p>
      <w:pPr>
        <w:pStyle w:val="ListParagraph"/>
        <w:numPr>
          <w:ilvl w:val="0"/>
          <w:numId w:val="3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Right: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phone as a tel: link, an EN | ES switcher (two items only), and one primary “Schedule Pickup” CTA pointing at Cents (§6).</w:t>
      </w:r>
    </w:p>
    <w:p>
      <w:pPr>
        <w:pStyle w:val="ListParagraph"/>
        <w:numPr>
          <w:ilvl w:val="0"/>
          <w:numId w:val="3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Mobile: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logo + hamburger; the primary CTA collapses into a persistent bottom bar carrying Call and Schedule Pickup.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Design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Header surface-1 with a bottom --line hairline; sticky on scroll. Nav labels --text-2 (Archivo not required for nav — Inter 500). Active/hover uses --brand-support. The Schedule CTA is the only amber element in the header.</w:t>
      </w:r>
    </w:p>
    <w:tbl>
      <w:tblPr>
        <w:tblW w:type="dxa" w:w="9360"/>
        <w:tblBorders>
          <w:top w:val="single" w:color="2E86AB" w:sz="3"/>
          <w:left w:val="single" w:color="2E86AB" w:sz="26"/>
          <w:bottom w:val="single" w:color="2E86AB" w:sz="3"/>
          <w:right w:val="single" w:color="2E86AB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9F3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E86AB"/>
                <w:sz w:val="18"/>
                <w:szCs w:val="18"/>
              </w:rPr>
              <w:t xml:space="preserve">THE ONE AMBER RULE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Amber (--brand-accent #FFB020) is for conversion actions only,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and amber fill always carries --n-950 (#07132B) ink — never white. White-on-amber is a stop-ship WCAG failure. Amber-coloured text (rare) uses --a-800 (#A35C18), never --a-500.</w:t>
            </w:r>
          </w:p>
        </w:tc>
      </w:tr>
    </w:tbl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5.2 Block 2 — Hero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Purpose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Answer “is this place any good now?” in one screen, and offer the two actions that matter.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H1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“A laundromat in Chicago’s 60634 where every machine works.” (Answer-first; no eyebrow above it.)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Lede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“Laundry Station is at 6043 W Addison St — self-service on serviced machines, plus wash &amp; fold and pickup &amp; delivery done for you.”</w:t>
      </w:r>
    </w:p>
    <w:p>
      <w:pPr>
        <w:pStyle w:val="ListParagraph"/>
        <w:numPr>
          <w:ilvl w:val="0"/>
          <w:numId w:val="4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Primary CTA: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“Schedule Pickup” → Cents (amber fill, --n-950 ink).</w:t>
      </w:r>
    </w:p>
    <w:p>
      <w:pPr>
        <w:pStyle w:val="ListParagraph"/>
        <w:numPr>
          <w:ilvl w:val="0"/>
          <w:numId w:val="4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Secondary CTA: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“Call {{PHONE}}” → tel: (outline/ghost button, --brand border and label).</w:t>
      </w:r>
    </w:p>
    <w:p>
      <w:pPr>
        <w:pStyle w:val="ListParagraph"/>
        <w:numPr>
          <w:ilvl w:val="0"/>
          <w:numId w:val="4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Background: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 real photo of the serviced machine floor ({{HERO_IMAGE}} — soft blocker). A dark --n-950 scrim keeps text at AA. Never stock photography.</w:t>
      </w:r>
    </w:p>
    <w:p>
      <w:pPr>
        <w:pStyle w:val="ListParagraph"/>
        <w:numPr>
          <w:ilvl w:val="0"/>
          <w:numId w:val="4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Support: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address line and a small “Se habla español” chip.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Design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Full-width hero on --surface-1; H1 in --font-display (Archivo) at the display step, --text-1 (or white on the scrim). No rating, no “trusted by” count, no eyebrow.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5.3 Block 3 — Trust strip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Purpose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Reset the reputation with facts, not slogans — the single most delicate block on the page.</w:t>
      </w:r>
    </w:p>
    <w:p>
      <w:pPr>
        <w:pStyle w:val="ListParagraph"/>
        <w:numPr>
          <w:ilvl w:val="0"/>
          <w:numId w:val="5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Ownership, as a dated fact: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“Under new ownership since {{OWNERSHIP_DATE}} — machines serviced, prices posted.”</w:t>
      </w:r>
    </w:p>
    <w:p>
      <w:pPr>
        <w:pStyle w:val="ListParagraph"/>
        <w:numPr>
          <w:ilvl w:val="0"/>
          <w:numId w:val="5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Payment methods: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{{PAYMENT_METHODS}} — stated exactly (see the rule box).</w:t>
      </w:r>
    </w:p>
    <w:p>
      <w:pPr>
        <w:pStyle w:val="ListParagraph"/>
        <w:numPr>
          <w:ilvl w:val="0"/>
          <w:numId w:val="5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Language: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“Se habla español” with a link to /es/.</w:t>
      </w:r>
    </w:p>
    <w:tbl>
      <w:tblPr>
        <w:tblW w:type="dxa" w:w="9360"/>
        <w:tblBorders>
          <w:top w:val="single" w:color="B3261E" w:sz="3"/>
          <w:left w:val="single" w:color="B3261E" w:sz="26"/>
          <w:bottom w:val="single" w:color="B3261E" w:sz="3"/>
          <w:right w:val="single" w:color="B3261E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BEB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B3261E"/>
                <w:sz w:val="18"/>
                <w:szCs w:val="18"/>
              </w:rPr>
              <w:t xml:space="preserve">TWO HARD RULES ON THIS STRIP</w:t>
            </w:r>
          </w:p>
          <w:p>
            <w:pPr>
              <w:spacing w:after="6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 “under new management” banner.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That exact phrasing pulls the predecessor’s reviews back into view. State the change as a dated fact and move on.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 unqualified “EBT accepted.”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SNAP food benefits cannot lawfully pay for laundry; Illinois LINK cash assistance can. State precisely what is accepted — {{PAYMENT_METHODS}} is owner-confirmed, never copied from the sister site.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Design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 single low strip on --surface-2, --text-2 copy, --brand-support icons. No star rating renders here or anywhere until 25 real reviews (§10).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5.4 Block 4 — Services grid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Purpose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Route intent to the six service pages and show the store does everything, done right.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Layout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Six cards in a 3×2 grid (desktop) → 2×3 (tablet) → 1 column (mobile). Each card: title, two-sentence description, a three-item feature tile, and a whole-card link to the service page. Card link text is --brand-support, not amber (amber is reserved for the booking action).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617"/>
        <w:gridCol w:w="4026"/>
        <w:gridCol w:w="2717"/>
      </w:tblGrid>
      <w:tr>
        <w:trPr>
          <w:cantSplit/>
          <w:tblHeader/>
        </w:trPr>
        <w:tc>
          <w:tcPr>
            <w:tcW w:type="dxa" w:w="2617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Card → links to</w:t>
            </w:r>
          </w:p>
        </w:tc>
        <w:tc>
          <w:tcPr>
            <w:tcW w:type="dxa" w:w="4026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Two-sentence description</w:t>
            </w:r>
          </w:p>
        </w:tc>
        <w:tc>
          <w:tcPr>
            <w:tcW w:type="dxa" w:w="2717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Feature tile (3)</w:t>
            </w:r>
          </w:p>
        </w:tc>
      </w:tr>
      <w:tr>
        <w:trPr>
          <w:cantSplit/>
          <w:tblHeader w:val="false"/>
        </w:trPr>
        <w:tc>
          <w:tcPr>
            <w:tcW w:type="dxa" w:w="26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Wash &amp; Fold
/services/wash-and-fold/</w:t>
            </w:r>
          </w:p>
        </w:tc>
        <w:tc>
          <w:tcPr>
            <w:tcW w:type="dxa" w:w="402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Drop it off and pick it up washed, dried, and folded. Done for you, usually by the next day.</w:t>
            </w:r>
          </w:p>
        </w:tc>
        <w:tc>
          <w:tcPr>
            <w:tcW w:type="dxa" w:w="27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By the pound · Same-day rush · Folded neatly</w:t>
            </w:r>
          </w:p>
        </w:tc>
      </w:tr>
      <w:tr>
        <w:trPr>
          <w:cantSplit/>
          <w:tblHeader w:val="false"/>
        </w:trPr>
        <w:tc>
          <w:tcPr>
            <w:tcW w:type="dxa" w:w="2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Pickup &amp; Delivery
/services/pickup-delivery/</w:t>
            </w:r>
          </w:p>
        </w:tc>
        <w:tc>
          <w:tcPr>
            <w:tcW w:type="dxa" w:w="4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Order from your phone and we come to you. We collect, clean, and bring it back.</w:t>
            </w:r>
          </w:p>
        </w:tc>
        <w:tc>
          <w:tcPr>
            <w:tcW w:type="dxa" w:w="27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Schedule in Cents · Contact-free · Northwest Side</w:t>
            </w:r>
          </w:p>
        </w:tc>
      </w:tr>
      <w:tr>
        <w:trPr>
          <w:cantSplit/>
          <w:tblHeader w:val="false"/>
        </w:trPr>
        <w:tc>
          <w:tcPr>
            <w:tcW w:type="dxa" w:w="26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Self-Service
/services/self-service/</w:t>
            </w:r>
          </w:p>
        </w:tc>
        <w:tc>
          <w:tcPr>
            <w:tcW w:type="dxa" w:w="402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Do it yourself on machines that are serviced and working. The big loads fit here.</w:t>
            </w:r>
          </w:p>
        </w:tc>
        <w:tc>
          <w:tcPr>
            <w:tcW w:type="dxa" w:w="27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Serviced machines · Large capacity · Attendant on site</w:t>
            </w:r>
          </w:p>
        </w:tc>
      </w:tr>
      <w:tr>
        <w:trPr>
          <w:cantSplit/>
          <w:tblHeader w:val="false"/>
        </w:trPr>
        <w:tc>
          <w:tcPr>
            <w:tcW w:type="dxa" w:w="2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Commercial
/services/commercial/</w:t>
            </w:r>
          </w:p>
        </w:tc>
        <w:tc>
          <w:tcPr>
            <w:tcW w:type="dxa" w:w="4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Reliable bulk laundry for Chicago businesses. Consistent turnaround, one point of contact.</w:t>
            </w:r>
          </w:p>
        </w:tc>
        <w:tc>
          <w:tcPr>
            <w:tcW w:type="dxa" w:w="27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By volume · Recurring pickup · Quote per account</w:t>
            </w:r>
          </w:p>
        </w:tc>
      </w:tr>
      <w:tr>
        <w:trPr>
          <w:cantSplit/>
          <w:tblHeader w:val="false"/>
        </w:trPr>
        <w:tc>
          <w:tcPr>
            <w:tcW w:type="dxa" w:w="26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Oversized &amp; Household
/services/oversized/</w:t>
            </w:r>
          </w:p>
        </w:tc>
        <w:tc>
          <w:tcPr>
            <w:tcW w:type="dxa" w:w="402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Wash the things that don’t fit at home — comforters, rugs, sleeping bags.</w:t>
            </w:r>
          </w:p>
        </w:tc>
        <w:tc>
          <w:tcPr>
            <w:tcW w:type="dxa" w:w="271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High-capacity · Per item · DIY or drop-off</w:t>
            </w:r>
          </w:p>
        </w:tc>
      </w:tr>
      <w:tr>
        <w:trPr>
          <w:cantSplit/>
          <w:tblHeader w:val="false"/>
        </w:trPr>
        <w:tc>
          <w:tcPr>
            <w:tcW w:type="dxa" w:w="26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Ironing &amp; Pressing
/services/ironing-pressing/</w:t>
            </w:r>
          </w:p>
        </w:tc>
        <w:tc>
          <w:tcPr>
            <w:tcW w:type="dxa" w:w="4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Pressed, finished, ready to wear. Shirts, suits, uniforms, linens.</w:t>
            </w:r>
          </w:p>
        </w:tc>
        <w:tc>
          <w:tcPr>
            <w:tcW w:type="dxa" w:w="27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Per item · Crisp finish · Add to wash &amp; fold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Design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Cards --surface-1 on --surface-2 background, titles in --font-display / --brand, body --text-2, icons --brand-support. Restrained line icons, not emoji — the tone is a well-run workshop.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5.5 Block 5 — The Board preview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Purpose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Tease the signature element — the machine floor as a real table — and send visitors to the full Board on /pricing/.</w:t>
      </w:r>
    </w:p>
    <w:p>
      <w:pPr>
        <w:pStyle w:val="ListParagraph"/>
        <w:numPr>
          <w:ilvl w:val="0"/>
          <w:numId w:val="6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Show three representative rows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of the real machine floor (tokens, owner-confirmed): {{MACHINE_ROW_1}}, {{MACHINE_ROW_2}}, {{MACHINE_ROW_3}}. Columns match The Board: Machine · Capacity · What it fits · Price.</w:t>
      </w:r>
    </w:p>
    <w:p>
      <w:pPr>
        <w:pStyle w:val="ListParagraph"/>
        <w:numPr>
          <w:ilvl w:val="0"/>
          <w:numId w:val="6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CTA: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“See every price on The Board” → /pricing/.</w:t>
      </w:r>
    </w:p>
    <w:p>
      <w:pPr>
        <w:pStyle w:val="ListParagraph"/>
        <w:numPr>
          <w:ilvl w:val="0"/>
          <w:numId w:val="6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No availability column.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 static “N available” is a fabricated statistic and a stop-ship failure; live availability needs a payment-system feed (Phase 2).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Design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 compact table on --surface-1 with --line dividers; header row --surface-3, figures in --font-display. The full Board spec lives in Content Strategy §6.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5.6 Block 6 — Why choose us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Purpose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State the reliability pillars plainly. The heading carries the meaning — nothing sits above it.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214"/>
        <w:gridCol w:w="7146"/>
      </w:tblGrid>
      <w:tr>
        <w:trPr>
          <w:cantSplit/>
          <w:tblHeader/>
        </w:trPr>
        <w:tc>
          <w:tcPr>
            <w:tcW w:type="dxa" w:w="2214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7146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One-line proof</w:t>
            </w:r>
          </w:p>
        </w:tc>
      </w:tr>
      <w:tr>
        <w:trPr>
          <w:cantSplit/>
          <w:tblHeader w:val="false"/>
        </w:trPr>
        <w:tc>
          <w:tcPr>
            <w:tcW w:type="dxa" w:w="221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Machines that work</w:t>
            </w:r>
          </w:p>
        </w:tc>
        <w:tc>
          <w:tcPr>
            <w:tcW w:type="dxa" w:w="714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Every washer and dryer is serviced and maintained — repaired and working, not a promise of “brand new.”</w:t>
            </w:r>
          </w:p>
        </w:tc>
      </w:tr>
      <w:tr>
        <w:trPr>
          <w:cantSplit/>
          <w:tblHeader w:val="false"/>
        </w:trPr>
        <w:tc>
          <w:tcPr>
            <w:tcW w:type="dxa" w:w="22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Prices posted</w:t>
            </w:r>
          </w:p>
        </w:tc>
        <w:tc>
          <w:tcPr>
            <w:tcW w:type="dxa" w:w="71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You see what it costs before you arrive. The Board lists every price; nothing is a surprise.</w:t>
            </w:r>
          </w:p>
        </w:tc>
      </w:tr>
      <w:tr>
        <w:trPr>
          <w:cantSplit/>
          <w:tblHeader w:val="false"/>
        </w:trPr>
        <w:tc>
          <w:tcPr>
            <w:tcW w:type="dxa" w:w="221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Done for you</w:t>
            </w:r>
          </w:p>
        </w:tc>
        <w:tc>
          <w:tcPr>
            <w:tcW w:type="dxa" w:w="714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Wash &amp; fold and pickup &amp; delivery mean you never have to spend an evening at the machines.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Design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Three columns → stacked on mobile; icons --brand-support, headings --font-display / --brand. No “Why Choose Us” eyebrow — the section heading is the top line.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5.7 Block 7 — Pickup &amp; Delivery steps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Purpose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Make the hands-free path feel simple and route to the booking action.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1812"/>
        <w:gridCol w:w="7548"/>
      </w:tblGrid>
      <w:tr>
        <w:trPr>
          <w:cantSplit/>
          <w:tblHeader/>
        </w:trPr>
        <w:tc>
          <w:tcPr>
            <w:tcW w:type="dxa" w:w="1812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548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Copy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1. Schedule</w:t>
            </w:r>
          </w:p>
        </w:tc>
        <w:tc>
          <w:tcPr>
            <w:tcW w:type="dxa" w:w="754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Book a pickup in a minute — in the Cents app or right here.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2. We pick up</w:t>
            </w:r>
          </w:p>
        </w:tc>
        <w:tc>
          <w:tcPr>
            <w:tcW w:type="dxa" w:w="7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We collect your laundry from your door on the Northwest Side.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3. We clean</w:t>
            </w:r>
          </w:p>
        </w:tc>
        <w:tc>
          <w:tcPr>
            <w:tcW w:type="dxa" w:w="754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Washed, dried, and folded on serviced machines.</w:t>
            </w:r>
          </w:p>
        </w:tc>
      </w:tr>
      <w:tr>
        <w:trPr>
          <w:cantSplit/>
          <w:tblHeader w:val="false"/>
        </w:trPr>
        <w:tc>
          <w:tcPr>
            <w:tcW w:type="dxa" w:w="18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4. We deliver</w:t>
            </w:r>
          </w:p>
        </w:tc>
        <w:tc>
          <w:tcPr>
            <w:tcW w:type="dxa" w:w="7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Back to you, clean and ready — usually by {{TURNAROUND}}.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CTA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“Schedule Pickup” → Cents (amber). Secondary text link to /services/pickup-delivery/.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Design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 four-step horizontal flow → vertical on mobile; step numbers in --font-display / --brand, connectors --line.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5.8 Block 8 — Oversized &amp; Household highlight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Purpose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Surface the strongest local pull — the loads people can’t do at home — and route to /services/oversized/.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Copy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“Wash the things that don’t fit at home. King comforters, area rugs, sleeping bags, pet bedding — the big machines here handle them.”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CTA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“See oversized &amp; household” → /services/oversized/ (--brand-support link, not amber).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Design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 single feature band on --surface-2 with one real photo of a large-capacity machine or a bulky load; --text-1 heading, --text-2 body.</w:t>
      </w:r>
    </w:p>
    <w:tbl>
      <w:tblPr>
        <w:tblW w:type="dxa" w:w="9360"/>
        <w:tblBorders>
          <w:top w:val="single" w:color="2E86AB" w:sz="3"/>
          <w:left w:val="single" w:color="2E86AB" w:sz="26"/>
          <w:bottom w:val="single" w:color="2E86AB" w:sz="3"/>
          <w:right w:val="single" w:color="2E86AB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9F3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E86AB"/>
                <w:sz w:val="18"/>
                <w:szCs w:val="18"/>
              </w:rPr>
              <w:t xml:space="preserve">WHY THIS BLOCK EARNS ITS PLACE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This is the clearest expression of content true only of this store — a higher-income, owner-occupied catchment brings the bulky items home machines can’t handle. The sister site has no equivalent, so it also passes the sameness test by construction.</w:t>
            </w:r>
          </w:p>
        </w:tc>
      </w:tr>
    </w:tbl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5.9 Block 9 — Neighbourhoods &amp; map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Purpose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Carry local intent without an Areas silo — geography lives in copy, schema, and a map, not in dedicated pages.</w:t>
      </w:r>
    </w:p>
    <w:p>
      <w:pPr>
        <w:pStyle w:val="ListParagraph"/>
        <w:numPr>
          <w:ilvl w:val="0"/>
          <w:numId w:val="7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Neighbourhoods named in copy: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Dunning, Portage Park, Belmont Cragin, Montclare — matching the areaServed array in Block A.</w:t>
      </w:r>
    </w:p>
    <w:p>
      <w:pPr>
        <w:pStyle w:val="ListParagraph"/>
        <w:numPr>
          <w:ilvl w:val="0"/>
          <w:numId w:val="7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Delivery 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one line on where pickup &amp; delivery reaches ({{DELIVERY_RING}}).</w:t>
      </w:r>
    </w:p>
    <w:p>
      <w:pPr>
        <w:pStyle w:val="ListParagraph"/>
        <w:numPr>
          <w:ilvl w:val="0"/>
          <w:numId w:val="7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Map: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 lazy-loaded Google map embed centred on 41.94541, -87.77826, with a get-directions link.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Design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Map right / copy left on desktop, stacked on mobile; the map is lazy-loaded with a static fallback so it never blocks LCP.</w:t>
      </w:r>
    </w:p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5.10 Block 10 — FAQ preview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Purpose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Answer the top operational questions inline and feed the FAQPage schema (Block D) exactly.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3422"/>
        <w:gridCol w:w="5938"/>
      </w:tblGrid>
      <w:tr>
        <w:trPr>
          <w:cantSplit/>
          <w:tblHeader/>
        </w:trPr>
        <w:tc>
          <w:tcPr>
            <w:tcW w:type="dxa" w:w="3422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938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Answer (answer-first; owner-confirmed token)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What are your hours?</w:t>
            </w:r>
          </w:p>
        </w:tc>
        <w:tc>
          <w:tcPr>
            <w:tcW w:type="dxa" w:w="593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{{HOURS_SENTENCE}}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What payment do you accept?</w:t>
            </w:r>
          </w:p>
        </w:tc>
        <w:tc>
          <w:tcPr>
            <w:tcW w:type="dxa" w:w="59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{{PAYMENT_SENTENCE}} — honours the EBT / LINK phrasing rule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What’s the largest machine — will my comforter fit?</w:t>
            </w:r>
          </w:p>
        </w:tc>
        <w:tc>
          <w:tcPr>
            <w:tcW w:type="dxa" w:w="593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{{LARGEST_MACHINE_SENTENCE}} — routes to Oversized</w:t>
            </w:r>
          </w:p>
        </w:tc>
      </w:tr>
      <w:tr>
        <w:trPr>
          <w:cantSplit/>
          <w:tblHeader w:val="false"/>
        </w:trPr>
        <w:tc>
          <w:tcPr>
            <w:tcW w:type="dxa" w:w="34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Do you offer pickup and delivery, and where?</w:t>
            </w:r>
          </w:p>
        </w:tc>
        <w:tc>
          <w:tcPr>
            <w:tcW w:type="dxa" w:w="59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{{DELIVERY_AREA_SENTENCE}} — routes to Pickup &amp; Delivery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CTA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“See all FAQs” → /faq/.</w:t>
      </w:r>
    </w:p>
    <w:tbl>
      <w:tblPr>
        <w:tblW w:type="dxa" w:w="9360"/>
        <w:tblBorders>
          <w:top w:val="single" w:color="2E86AB" w:sz="3"/>
          <w:left w:val="single" w:color="2E86AB" w:sz="26"/>
          <w:bottom w:val="single" w:color="2E86AB" w:sz="3"/>
          <w:right w:val="single" w:color="2E86AB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9F3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E86AB"/>
                <w:sz w:val="18"/>
                <w:szCs w:val="18"/>
              </w:rPr>
              <w:t xml:space="preserve">SCHEMA MUST MATCH THE VISIBLE COPY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These four questions and answers are the entire FAQPage markup on the homepage — same wording, no extras. If the /faq/ page carries more, those extra questions live in its schema, not here.</w:t>
            </w:r>
          </w:p>
        </w:tc>
      </w:tr>
    </w:tbl>
    <w:p>
      <w:pPr>
        <w:keepNext/>
        <w:spacing w:after="110" w:before="260" w:line="288"/>
      </w:pPr>
      <w:r>
        <w:rPr>
          <w:rFonts w:ascii="Poppins" w:cs="Poppins" w:eastAsia="Poppins" w:hAnsi="Poppins"/>
          <w:b/>
          <w:bCs/>
          <w:color w:val="1B3C6E"/>
          <w:sz w:val="23"/>
          <w:szCs w:val="23"/>
        </w:rPr>
        <w:t xml:space="preserve">5.11 Block 11 — Final conversion &amp; footer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Purpose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Give every visitor a last, low-friction way to act, then the standard footer.</w:t>
      </w:r>
    </w:p>
    <w:p>
      <w:pPr>
        <w:pStyle w:val="ListParagraph"/>
        <w:numPr>
          <w:ilvl w:val="0"/>
          <w:numId w:val="8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Conversion row: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Schedule Pickup (Cents, amber) · Call {{PHONE}} · Text us ({{TEXT_NUMBER}}, sms:) · Directions.</w:t>
      </w:r>
    </w:p>
    <w:p>
      <w:pPr>
        <w:pStyle w:val="ListParagraph"/>
        <w:numPr>
          <w:ilvl w:val="0"/>
          <w:numId w:val="8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Text link is inbound-only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and never the amber button — confirm the line is text-capable first (§9). If unconfirmed, omit it; Call stands in.</w:t>
      </w:r>
    </w:p>
    <w:p>
      <w:pPr>
        <w:pStyle w:val="ListParagraph"/>
        <w:numPr>
          <w:ilvl w:val="0"/>
          <w:numId w:val="8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Footer: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NAP block, hours, the six services, company links (About / Contact / FAQ), payment methods, social links ({{SOCIAL_URLS}} — held until profiles exist), EN | ES, and the legal trio.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B3C6E"/>
          <w:sz w:val="20"/>
          <w:szCs w:val="20"/>
        </w:rPr>
        <w:t xml:space="preserve">Design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Conversion band on --surface-3; footer on --n-950 with --n-100 text, links --sky (--n-300/--brand-support on dark). The single amber element is the Schedule button.</w:t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6. The Booking CTA — Cents</w:t>
      </w:r>
    </w:p>
    <w:tbl>
      <w:tblPr>
        <w:tblW w:type="dxa" w:w="9360"/>
        <w:tblBorders>
          <w:top w:val="single" w:color="2F8F46" w:sz="3"/>
          <w:left w:val="single" w:color="2F8F46" w:sz="26"/>
          <w:bottom w:val="single" w:color="2F8F46" w:sz="3"/>
          <w:right w:val="single" w:color="2F8F4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AF5E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F8F46"/>
                <w:sz w:val="18"/>
                <w:szCs w:val="18"/>
              </w:rPr>
              <w:t xml:space="preserve">BOOKING PLATFORM CONFIRMED — THIS BLOCKER IS CLOSED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store books through Cents.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This was the site’s single CRITICAL blocker in v2.0; it is now resolved. Every “Schedule Pickup” CTA across the whole site resolves to Cents. The only remaining owner input is the exact Cents store URL — a soft token, not a platform decision.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CTA still ships behind a three-state resolver so the page is safe to publish before the exact Cents URL is pasted in, and so a future outage degrades gracefully instead of dead-ending.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Every "Schedule Pickup" href resolves in this order: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1. {{BOOKING_URL}}            -&gt; the Cents booking page (platform confirmed)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2. /services/pickup-delivery/ -&gt; interim, only until the exact Cents URL is set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3. tel:{{PHONE_E164}}         -&gt; fallback if Cents is ever unavailable</w:t>
            </w:r>
          </w:p>
        </w:tc>
      </w:tr>
    </w:tbl>
    <w:p>
      <w:pPr>
        <w:pStyle w:val="ListParagraph"/>
        <w:numPr>
          <w:ilvl w:val="0"/>
          <w:numId w:val="9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One CTA style, everywhere.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Amber fill (--brand-accent) with --n-950 ink; identical in the header, hero, Pickup &amp; Delivery steps, and final conversion band. It is the only amber element on the page.</w:t>
      </w:r>
    </w:p>
    <w:p>
      <w:pPr>
        <w:pStyle w:val="ListParagraph"/>
        <w:numPr>
          <w:ilvl w:val="0"/>
          <w:numId w:val="9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Opens Cents in a new tab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with rel="noopener"; the homepage stays open behind it.</w:t>
      </w:r>
    </w:p>
    <w:p>
      <w:pPr>
        <w:pStyle w:val="ListParagraph"/>
        <w:numPr>
          <w:ilvl w:val="0"/>
          <w:numId w:val="9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Fires one analytics event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on click — schedule_click, with the block it was clicked from as a parameter (§8).</w:t>
      </w:r>
    </w:p>
    <w:p>
      <w:pPr>
        <w:pStyle w:val="ListParagraph"/>
        <w:numPr>
          <w:ilvl w:val="0"/>
          <w:numId w:val="9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Never a dead or invented link.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If {{BOOKING_URL}} is empty at build time, the resolver falls to state 2 automatically.</w:t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7. Brand &amp; Design System Applied</w:t>
      </w:r>
    </w:p>
    <w:tbl>
      <w:tblPr>
        <w:tblW w:type="dxa" w:w="9360"/>
        <w:tblBorders>
          <w:top w:val="single" w:color="1B3C6E" w:sz="3"/>
          <w:left w:val="single" w:color="1B3C6E" w:sz="26"/>
          <w:bottom w:val="single" w:color="1B3C6E" w:sz="3"/>
          <w:right w:val="single" w:color="1B3C6E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EF3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1B3C6E"/>
                <w:sz w:val="18"/>
                <w:szCs w:val="18"/>
              </w:rPr>
              <w:t xml:space="preserve">TWO BRANDS, DO NOT MIX THEM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This document is TradeWorks house brand (Navy / Teal / Orange, Poppins / Arial).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website is the Laundry Station brand — the palette sampled from the client logo and locked in the Website Strategy. The tokens below are what ships on the site; the colours you see on this page are not.</w:t>
            </w:r>
          </w:p>
        </w:tc>
      </w:tr>
    </w:tbl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site inherits the house Build Standard token file with these client SWAP values. No component rule anywhere carries a raw hex, pixel, radius, shadow, or duration — every value is a token reference.</w:t>
      </w:r>
    </w:p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:root {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/* ===== SWAP: brand — sampled from the Laundry Station logo ===== */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--brand:         #0C479C;  /* Station Navy — structure, headings, nav */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--brand-accent:  #FFB020;  /* Signal Amber — conversion actions only */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--brand-support: #066FE5;  /* Signal Blue  — links, icons, informational */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/* ===== SWAP: neutral ramp (OKLCH-built) ===== */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--n-50:  #F3F7FC;  --n-500: #5786C7;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--n-100: #E5EEF8;  --n-600: #2F67B7;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--n-200: #CFDEF0;  --n-700: #0C479C;   /* = --brand, pinned */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--n-300: #B0C8E6;  --n-800: #042E74;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--n-400: #83A7D7;  --n-900: #071F4D;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                   --n-950: #07132B;   /* logo Deep Navy, pinned */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/* ===== SWAP: accent ramp — accent TEXT uses a-800, never a-500 ===== */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--a-300: #FCDB9F;  --a-600: #E89719;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--a-400: #FDC76C;  --a-700: #C67712;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--a-500: #FFB020;  --a-800: #A35C18;   /* accent text on white = 5.12:1 */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/* ===== semantic aliases — re-theme by editing only these ===== */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--text-1: var(--n-950);  --surface-1: #FFFFFF;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--text-2: var(--n-800);  --surface-2: var(--n-50);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--text-3: var(--n-700);  --surface-3: var(--n-100);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--text-mute: var(--n-600);  --line: var(--n-200);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--focus-ring: var(--brand-support);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/* ===== SWAP: type ===== */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--font-display: "Archivo", system-ui, sans-serif;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  --font-body:    "Inter",   system-ui, sans-serif;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}</w:t>
            </w:r>
          </w:p>
        </w:tc>
      </w:tr>
    </w:tbl>
    <w:p>
      <w:pPr>
        <w:keepNext/>
        <w:spacing w:after="90" w:before="200" w:line="276"/>
      </w:pPr>
      <w:r>
        <w:rPr>
          <w:rFonts w:ascii="Poppins" w:cs="Poppins" w:eastAsia="Poppins" w:hAnsi="Poppins"/>
          <w:b/>
          <w:bCs/>
          <w:color w:val="2E86AB"/>
          <w:sz w:val="20"/>
          <w:szCs w:val="20"/>
        </w:rPr>
        <w:t xml:space="preserve">The rules the homepage must not break</w:t>
      </w:r>
    </w:p>
    <w:p>
      <w:pPr>
        <w:pStyle w:val="ListParagraph"/>
        <w:numPr>
          <w:ilvl w:val="0"/>
          <w:numId w:val="10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Amber is conversion-only, and amber fill carries --n-950 ink.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White-on-amber (#FFB020) is a stop-ship WCAG failure. The Schedule button is the only amber element on the page.</w:t>
      </w:r>
    </w:p>
    <w:p>
      <w:pPr>
        <w:pStyle w:val="ListParagraph"/>
        <w:numPr>
          <w:ilvl w:val="0"/>
          <w:numId w:val="10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Accent-coloured text uses --a-800, never --a-500.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The bright amber is a fill colour, not a text colour on white.</w:t>
      </w:r>
    </w:p>
    <w:p>
      <w:pPr>
        <w:pStyle w:val="ListParagraph"/>
        <w:numPr>
          <w:ilvl w:val="0"/>
          <w:numId w:val="10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No eyebrow above any heading.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Section headings stand alone — no “Why Choose Us” / “Got Questions?” kicker line above them (the sister site does this; we do not).</w:t>
      </w:r>
    </w:p>
    <w:p>
      <w:pPr>
        <w:pStyle w:val="ListParagraph"/>
        <w:numPr>
          <w:ilvl w:val="0"/>
          <w:numId w:val="10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Display face is Archivo, body is Inter.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Headings, step numbers, and price figures use --font-display; everything else --font-body.</w:t>
      </w:r>
    </w:p>
    <w:p>
      <w:pPr>
        <w:pStyle w:val="ListParagraph"/>
        <w:numPr>
          <w:ilvl w:val="0"/>
          <w:numId w:val="10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Links and informational icons are --brand-support;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structure, nav, and headings are --brand.</w:t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8. Analytics &amp; Event Tracking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GA4 via GTM. Every conversion action pushes to the dataLayer so the homepage’s job — routing to a booking or a call — is measurable, and so /es/ can be reported as its own segment from day one.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2415"/>
        <w:gridCol w:w="3623"/>
        <w:gridCol w:w="3322"/>
      </w:tblGrid>
      <w:tr>
        <w:trPr>
          <w:cantSplit/>
          <w:tblHeader/>
        </w:trPr>
        <w:tc>
          <w:tcPr>
            <w:tcW w:type="dxa" w:w="2415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62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Fires when</w:t>
            </w:r>
          </w:p>
        </w:tc>
        <w:tc>
          <w:tcPr>
            <w:tcW w:type="dxa" w:w="3322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Key parameters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schedule_click</w:t>
            </w:r>
          </w:p>
        </w:tc>
        <w:tc>
          <w:tcPr>
            <w:tcW w:type="dxa" w:w="362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Any Schedule Pickup CTA (Cents)</w:t>
            </w:r>
          </w:p>
        </w:tc>
        <w:tc>
          <w:tcPr>
            <w:tcW w:type="dxa" w:w="332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block: header | hero | pnd_steps | footer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call_click</w:t>
            </w:r>
          </w:p>
        </w:tc>
        <w:tc>
          <w:tcPr>
            <w:tcW w:type="dxa" w:w="3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Any tel: link</w:t>
            </w:r>
          </w:p>
        </w:tc>
        <w:tc>
          <w:tcPr>
            <w:tcW w:type="dxa" w:w="33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block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text_click</w:t>
            </w:r>
          </w:p>
        </w:tc>
        <w:tc>
          <w:tcPr>
            <w:tcW w:type="dxa" w:w="362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sms: Text us link</w:t>
            </w:r>
          </w:p>
        </w:tc>
        <w:tc>
          <w:tcPr>
            <w:tcW w:type="dxa" w:w="332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block: footer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directions_click</w:t>
            </w:r>
          </w:p>
        </w:tc>
        <w:tc>
          <w:tcPr>
            <w:tcW w:type="dxa" w:w="3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Get-directions link</w:t>
            </w:r>
          </w:p>
        </w:tc>
        <w:tc>
          <w:tcPr>
            <w:tcW w:type="dxa" w:w="33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service_card_click</w:t>
            </w:r>
          </w:p>
        </w:tc>
        <w:tc>
          <w:tcPr>
            <w:tcW w:type="dxa" w:w="362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 services-grid card</w:t>
            </w:r>
          </w:p>
        </w:tc>
        <w:tc>
          <w:tcPr>
            <w:tcW w:type="dxa" w:w="332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service: wash_and_fold | pickup_delivery | …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board_view</w:t>
            </w:r>
          </w:p>
        </w:tc>
        <w:tc>
          <w:tcPr>
            <w:tcW w:type="dxa" w:w="362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Board preview scrolls into view</w:t>
            </w:r>
          </w:p>
        </w:tc>
        <w:tc>
          <w:tcPr>
            <w:tcW w:type="dxa" w:w="33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15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lang_switch</w:t>
            </w:r>
          </w:p>
        </w:tc>
        <w:tc>
          <w:tcPr>
            <w:tcW w:type="dxa" w:w="362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EN | ES switcher used</w:t>
            </w:r>
          </w:p>
        </w:tc>
        <w:tc>
          <w:tcPr>
            <w:tcW w:type="dxa" w:w="3322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to: en | es</w:t>
            </w:r>
          </w:p>
        </w:tc>
      </w:tr>
    </w:tbl>
    <w:tbl>
      <w:tblPr>
        <w:tblW w:type="dxa" w:w="9360"/>
        <w:tblBorders>
          <w:top w:val="single" w:color="D5DCE6" w:sz="3"/>
          <w:left w:val="single" w:color="D5DCE6" w:sz="3"/>
          <w:bottom w:val="single" w:color="D5DCE6" w:sz="3"/>
          <w:right w:val="single" w:color="D5DCE6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F6F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// Example: Schedule Pickup click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window.dataLayer = window.dataLayer || [];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10233F"/>
                <w:sz w:val="16"/>
                <w:szCs w:val="16"/>
              </w:rPr>
              <w:t xml:space="preserve">dataLayer.push({ event: 'schedule_click', block: 'hero' });</w:t>
            </w:r>
          </w:p>
        </w:tc>
      </w:tr>
    </w:tbl>
    <w:tbl>
      <w:tblPr>
        <w:tblW w:type="dxa" w:w="9360"/>
        <w:tblBorders>
          <w:top w:val="single" w:color="2E86AB" w:sz="3"/>
          <w:left w:val="single" w:color="2E86AB" w:sz="26"/>
          <w:bottom w:val="single" w:color="2E86AB" w:sz="3"/>
          <w:right w:val="single" w:color="2E86AB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9F3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E86AB"/>
                <w:sz w:val="18"/>
                <w:szCs w:val="18"/>
              </w:rPr>
              <w:t xml:space="preserve">LANGUAGE SEGMENT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Set a page-level dataLayer variable ( page_locale: "en" | "es" ) on every page so GA4 can split all events by language. This is how we will know whether the Spanish site is earning its keep.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9. SWAP Token Register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Every value the owner still has to supply, tracked in one place. A page with an open launch-critical token is not finished; a token is never filled with a plausible guess — the dashed amber gap ships instead.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3120"/>
        <w:gridCol w:w="4227"/>
        <w:gridCol w:w="2013"/>
      </w:tblGrid>
      <w:tr>
        <w:trPr>
          <w:cantSplit/>
          <w:tblHeader/>
        </w:trPr>
        <w:tc>
          <w:tcPr>
            <w:tcW w:type="dxa" w:w="3120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4227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013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{{DOMAIN}}</w:t>
            </w:r>
          </w:p>
        </w:tc>
        <w:tc>
          <w:tcPr>
            <w:tcW w:type="dxa" w:w="422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Live domain for canonical / OG / schema URLs</w:t>
            </w:r>
          </w:p>
        </w:tc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Confirm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{{PHONE}} / {{PHONE_E164}}</w:t>
            </w:r>
          </w:p>
        </w:tc>
        <w:tc>
          <w:tcPr>
            <w:tcW w:type="dxa" w:w="42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Display phone and tel: / schema phone</w:t>
            </w:r>
          </w:p>
        </w:tc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261E"/>
                <w:sz w:val="18"/>
                <w:szCs w:val="18"/>
              </w:rPr>
              <w:t xml:space="preserve">HARD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{{BOOKING_URL}}</w:t>
            </w:r>
          </w:p>
        </w:tc>
        <w:tc>
          <w:tcPr>
            <w:tcW w:type="dxa" w:w="422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Exact Cents store booking URL (platform = Cents, confirmed)</w:t>
            </w:r>
          </w:p>
        </w:tc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F8F46"/>
                <w:sz w:val="18"/>
                <w:szCs w:val="18"/>
              </w:rPr>
              <w:t xml:space="preserve">Soft — platform closed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{{OPEN}} / {{CLOSE}} / {{HOURS_SENTENCE}}</w:t>
            </w:r>
          </w:p>
        </w:tc>
        <w:tc>
          <w:tcPr>
            <w:tcW w:type="dxa" w:w="42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Hours — schema + trust strip + FAQ</w:t>
            </w:r>
          </w:p>
        </w:tc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261E"/>
                <w:sz w:val="18"/>
                <w:szCs w:val="18"/>
              </w:rPr>
              <w:t xml:space="preserve">HARD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{{PAYMENT_METHODS}} / {{PAYMENT_SENTENCE}}</w:t>
            </w:r>
          </w:p>
        </w:tc>
        <w:tc>
          <w:tcPr>
            <w:tcW w:type="dxa" w:w="422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Exact payment reality (EBT / LINK rule)</w:t>
            </w:r>
          </w:p>
        </w:tc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261E"/>
                <w:sz w:val="18"/>
                <w:szCs w:val="18"/>
              </w:rPr>
              <w:t xml:space="preserve">HARD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{{OWNERSHIP_DATE}}</w:t>
            </w:r>
          </w:p>
        </w:tc>
        <w:tc>
          <w:tcPr>
            <w:tcW w:type="dxa" w:w="42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Date for the trust-strip ownership line</w:t>
            </w:r>
          </w:p>
        </w:tc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261E"/>
                <w:sz w:val="18"/>
                <w:szCs w:val="18"/>
              </w:rPr>
              <w:t xml:space="preserve">HARD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{{MACHINE_ROW_1..3}}</w:t>
            </w:r>
          </w:p>
        </w:tc>
        <w:tc>
          <w:tcPr>
            <w:tcW w:type="dxa" w:w="422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Three real machine rows for The Board preview</w:t>
            </w:r>
          </w:p>
        </w:tc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261E"/>
                <w:sz w:val="18"/>
                <w:szCs w:val="18"/>
              </w:rPr>
              <w:t xml:space="preserve">HARD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{{LARGEST_MACHINE_SENTENCE}}</w:t>
            </w:r>
          </w:p>
        </w:tc>
        <w:tc>
          <w:tcPr>
            <w:tcW w:type="dxa" w:w="42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FAQ answer + Oversized routing</w:t>
            </w:r>
          </w:p>
        </w:tc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261E"/>
                <w:sz w:val="18"/>
                <w:szCs w:val="18"/>
              </w:rPr>
              <w:t xml:space="preserve">HARD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{{DELIVERY_RING}} / {{DELIVERY_AREA_SENTENCE}}</w:t>
            </w:r>
          </w:p>
        </w:tc>
        <w:tc>
          <w:tcPr>
            <w:tcW w:type="dxa" w:w="422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Where pickup &amp; delivery reaches</w:t>
            </w:r>
          </w:p>
        </w:tc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261E"/>
                <w:sz w:val="18"/>
                <w:szCs w:val="18"/>
              </w:rPr>
              <w:t xml:space="preserve">HARD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{{TURNAROUND}}</w:t>
            </w:r>
          </w:p>
        </w:tc>
        <w:tc>
          <w:tcPr>
            <w:tcW w:type="dxa" w:w="42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Pickup &amp; delivery turnaround line</w:t>
            </w:r>
          </w:p>
        </w:tc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Soft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{{HERO_IMAGE}} / og-home.jpg</w:t>
            </w:r>
          </w:p>
        </w:tc>
        <w:tc>
          <w:tcPr>
            <w:tcW w:type="dxa" w:w="422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Real machine-floor photography</w:t>
            </w:r>
          </w:p>
        </w:tc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Soft — placeholder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{{TEXT_NUMBER}}</w:t>
            </w:r>
          </w:p>
        </w:tc>
        <w:tc>
          <w:tcPr>
            <w:tcW w:type="dxa" w:w="42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sms: line — confirm text-capable first</w:t>
            </w:r>
          </w:p>
        </w:tc>
        <w:tc>
          <w:tcPr>
            <w:tcW w:type="dxa" w:w="20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Soft — omit if unconfirmed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{{SOCIAL_URLS}}</w:t>
            </w:r>
          </w:p>
        </w:tc>
        <w:tc>
          <w:tcPr>
            <w:tcW w:type="dxa" w:w="4227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Footer links + schema sameAs</w:t>
            </w:r>
          </w:p>
        </w:tc>
        <w:tc>
          <w:tcPr>
            <w:tcW w:type="dxa" w:w="2013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Soft — hold until live</w:t>
            </w:r>
          </w:p>
        </w:tc>
      </w:tr>
    </w:tbl>
    <w:tbl>
      <w:tblPr>
        <w:tblW w:type="dxa" w:w="9360"/>
        <w:tblBorders>
          <w:top w:val="single" w:color="2E86AB" w:sz="3"/>
          <w:left w:val="single" w:color="2E86AB" w:sz="26"/>
          <w:bottom w:val="single" w:color="2E86AB" w:sz="3"/>
          <w:right w:val="single" w:color="2E86AB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E9F3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2E86AB"/>
                <w:sz w:val="18"/>
                <w:szCs w:val="18"/>
              </w:rPr>
              <w:t xml:space="preserve">WHAT CHANGED SINCE v2.0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Booking moved from CRITICAL to soft.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platform is decided (Cents); only the exact URL remains, and the three-state resolver ships without it. No Polish tokens exist — the site is English + Spanish only.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10. Accessibility &amp; Performance</w:t>
      </w:r>
    </w:p>
    <w:p>
      <w:pPr>
        <w:pStyle w:val="ListParagraph"/>
        <w:numPr>
          <w:ilvl w:val="0"/>
          <w:numId w:val="11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Contrast AA everywhere.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Amber fill carries --n-950 ink; accent text uses --a-800; the hero scrim keeps title text ≥ 4.5:1. No white-on-amber, ever.</w:t>
      </w:r>
    </w:p>
    <w:p>
      <w:pPr>
        <w:pStyle w:val="ListParagraph"/>
        <w:numPr>
          <w:ilvl w:val="0"/>
          <w:numId w:val="11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Focus visible.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A --focus-ring (--brand-support) outline on every interactive element; never remove outlines without a visible replacement.</w:t>
      </w:r>
    </w:p>
    <w:p>
      <w:pPr>
        <w:pStyle w:val="ListParagraph"/>
        <w:numPr>
          <w:ilvl w:val="0"/>
          <w:numId w:val="11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Tap targets ≥ 44×44px,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including the sticky mobile bar buttons and the language switcher.</w:t>
      </w:r>
    </w:p>
    <w:p>
      <w:pPr>
        <w:pStyle w:val="ListParagraph"/>
        <w:numPr>
          <w:ilvl w:val="0"/>
          <w:numId w:val="11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Language attributes: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html lang="en" on / and lang="es" on /es/; the switcher sets the right lang on each page.</w:t>
      </w:r>
    </w:p>
    <w:p>
      <w:pPr>
        <w:pStyle w:val="ListParagraph"/>
        <w:numPr>
          <w:ilvl w:val="0"/>
          <w:numId w:val="11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Real alt text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on the hero and Oversized photos — describe the machines/floor, not “image.”</w:t>
      </w:r>
    </w:p>
    <w:p>
      <w:pPr>
        <w:pStyle w:val="ListParagraph"/>
        <w:numPr>
          <w:ilvl w:val="0"/>
          <w:numId w:val="11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LCP protected: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preload the hero image and the two above-the-fold font weights; the map is lazy-loaded with a static fallback so it never blocks render.</w:t>
      </w:r>
    </w:p>
    <w:p>
      <w:pPr>
        <w:pStyle w:val="ListParagraph"/>
        <w:numPr>
          <w:ilvl w:val="0"/>
          <w:numId w:val="11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No layout shift: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width/height on the hero image and reserved space for the map embed to hold CLS near zero.</w:t>
      </w:r>
    </w:p>
    <w:p>
      <w:pPr>
        <w:pStyle w:val="ListParagraph"/>
        <w:numPr>
          <w:ilvl w:val="0"/>
          <w:numId w:val="11"/>
        </w:numPr>
        <w:spacing w:after="9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3646"/>
          <w:sz w:val="20"/>
          <w:szCs w:val="20"/>
        </w:rPr>
        <w:t xml:space="preserve">Static first byte: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full body and all four schema blocks present without JavaScript — the AEO stop-ship rule (§8, Content Strategy).</w:t>
      </w:r>
    </w:p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11. Implementation Checklist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604"/>
        <w:gridCol w:w="8756"/>
      </w:tblGrid>
      <w:tr>
        <w:trPr>
          <w:cantSplit/>
          <w:tblHeader/>
        </w:trPr>
        <w:tc>
          <w:tcPr>
            <w:tcW w:type="dxa" w:w="604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8756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  <w:tblHeader w:val="false"/>
        </w:trPr>
        <w:tc>
          <w:tcPr>
            <w:tcW w:type="dxa" w:w="60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❑</w:t>
            </w:r>
          </w:p>
        </w:tc>
        <w:tc>
          <w:tcPr>
            <w:tcW w:type="dxa" w:w="875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Head: title ≤ 60, description ≤ 155, canonical, hreflang en / es / x-default only (no pl)</w:t>
            </w:r>
          </w:p>
        </w:tc>
      </w:tr>
      <w:tr>
        <w:trPr>
          <w:cantSplit/>
          <w:tblHeader w:val="false"/>
        </w:trPr>
        <w:tc>
          <w:tcPr>
            <w:tcW w:type="dxa" w:w="6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❑</w:t>
            </w:r>
          </w:p>
        </w:tc>
        <w:tc>
          <w:tcPr>
            <w:tcW w:type="dxa" w:w="8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Four JSON-LD blocks server-rendered; no aggregateRating; availableLanguage en/es</w:t>
            </w:r>
          </w:p>
        </w:tc>
      </w:tr>
      <w:tr>
        <w:trPr>
          <w:cantSplit/>
          <w:tblHeader w:val="false"/>
        </w:trPr>
        <w:tc>
          <w:tcPr>
            <w:tcW w:type="dxa" w:w="60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❑</w:t>
            </w:r>
          </w:p>
        </w:tc>
        <w:tc>
          <w:tcPr>
            <w:tcW w:type="dxa" w:w="875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FAQPage markup matches the four visible FAQ-preview Q&amp;As verbatim</w:t>
            </w:r>
          </w:p>
        </w:tc>
      </w:tr>
      <w:tr>
        <w:trPr>
          <w:cantSplit/>
          <w:tblHeader w:val="false"/>
        </w:trPr>
        <w:tc>
          <w:tcPr>
            <w:tcW w:type="dxa" w:w="6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❑</w:t>
            </w:r>
          </w:p>
        </w:tc>
        <w:tc>
          <w:tcPr>
            <w:tcW w:type="dxa" w:w="8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All eleven blocks in order; no eyebrow above any heading</w:t>
            </w:r>
          </w:p>
        </w:tc>
      </w:tr>
      <w:tr>
        <w:trPr>
          <w:cantSplit/>
          <w:tblHeader w:val="false"/>
        </w:trPr>
        <w:tc>
          <w:tcPr>
            <w:tcW w:type="dxa" w:w="60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❑</w:t>
            </w:r>
          </w:p>
        </w:tc>
        <w:tc>
          <w:tcPr>
            <w:tcW w:type="dxa" w:w="875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Schedule CTA uses the three-state resolver to Cents; opens new tab; fires schedule_click</w:t>
            </w:r>
          </w:p>
        </w:tc>
      </w:tr>
      <w:tr>
        <w:trPr>
          <w:cantSplit/>
          <w:tblHeader w:val="false"/>
        </w:trPr>
        <w:tc>
          <w:tcPr>
            <w:tcW w:type="dxa" w:w="6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❑</w:t>
            </w:r>
          </w:p>
        </w:tc>
        <w:tc>
          <w:tcPr>
            <w:tcW w:type="dxa" w:w="8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Amber only on the Schedule button; amber fill carries --n-950 ink</w:t>
            </w:r>
          </w:p>
        </w:tc>
      </w:tr>
      <w:tr>
        <w:trPr>
          <w:cantSplit/>
          <w:tblHeader w:val="false"/>
        </w:trPr>
        <w:tc>
          <w:tcPr>
            <w:tcW w:type="dxa" w:w="60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❑</w:t>
            </w:r>
          </w:p>
        </w:tc>
        <w:tc>
          <w:tcPr>
            <w:tcW w:type="dxa" w:w="875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Language switcher is EN | ES only; each page sets html lang + page_locale</w:t>
            </w:r>
          </w:p>
        </w:tc>
      </w:tr>
      <w:tr>
        <w:trPr>
          <w:cantSplit/>
          <w:tblHeader w:val="false"/>
        </w:trPr>
        <w:tc>
          <w:tcPr>
            <w:tcW w:type="dxa" w:w="6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❑</w:t>
            </w:r>
          </w:p>
        </w:tc>
        <w:tc>
          <w:tcPr>
            <w:tcW w:type="dxa" w:w="8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Trust strip: dated ownership fact, no “under new management,” exact payment (EBT/LINK)</w:t>
            </w:r>
          </w:p>
        </w:tc>
      </w:tr>
      <w:tr>
        <w:trPr>
          <w:cantSplit/>
          <w:tblHeader w:val="false"/>
        </w:trPr>
        <w:tc>
          <w:tcPr>
            <w:tcW w:type="dxa" w:w="60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❑</w:t>
            </w:r>
          </w:p>
        </w:tc>
        <w:tc>
          <w:tcPr>
            <w:tcW w:type="dxa" w:w="875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The Board preview has no availability column; three real rows or dashed token gaps</w:t>
            </w:r>
          </w:p>
        </w:tc>
      </w:tr>
      <w:tr>
        <w:trPr>
          <w:cantSplit/>
          <w:tblHeader w:val="false"/>
        </w:trPr>
        <w:tc>
          <w:tcPr>
            <w:tcW w:type="dxa" w:w="6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❑</w:t>
            </w:r>
          </w:p>
        </w:tc>
        <w:tc>
          <w:tcPr>
            <w:tcW w:type="dxa" w:w="8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No component carries a raw hex/px/radius — tokens only; Archivo display, Inter body</w:t>
            </w:r>
          </w:p>
        </w:tc>
      </w:tr>
      <w:tr>
        <w:trPr>
          <w:cantSplit/>
          <w:tblHeader w:val="false"/>
        </w:trPr>
        <w:tc>
          <w:tcPr>
            <w:tcW w:type="dxa" w:w="60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❑</w:t>
            </w:r>
          </w:p>
        </w:tc>
        <w:tc>
          <w:tcPr>
            <w:tcW w:type="dxa" w:w="875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GA4 events wired via GTM; page_locale set</w:t>
            </w:r>
          </w:p>
        </w:tc>
      </w:tr>
      <w:tr>
        <w:trPr>
          <w:cantSplit/>
          <w:tblHeader w:val="false"/>
        </w:trPr>
        <w:tc>
          <w:tcPr>
            <w:tcW w:type="dxa" w:w="6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❑</w:t>
            </w:r>
          </w:p>
        </w:tc>
        <w:tc>
          <w:tcPr>
            <w:tcW w:type="dxa" w:w="8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Contrast AA, focus rings, 44px targets, real alt text, lazy map, preload fonts + hero</w:t>
            </w:r>
          </w:p>
        </w:tc>
      </w:tr>
      <w:tr>
        <w:trPr>
          <w:cantSplit/>
          <w:tblHeader w:val="false"/>
        </w:trPr>
        <w:tc>
          <w:tcPr>
            <w:tcW w:type="dxa" w:w="604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❑</w:t>
            </w:r>
          </w:p>
        </w:tc>
        <w:tc>
          <w:tcPr>
            <w:tcW w:type="dxa" w:w="8756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Open SWAP tokens render as visible dashed amber gaps, never guessed values</w:t>
            </w:r>
          </w:p>
        </w:tc>
      </w:tr>
      <w:tr>
        <w:trPr>
          <w:cantSplit/>
          <w:tblHeader w:val="false"/>
        </w:trPr>
        <w:tc>
          <w:tcPr>
            <w:tcW w:type="dxa" w:w="6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❑</w:t>
            </w:r>
          </w:p>
        </w:tc>
        <w:tc>
          <w:tcPr>
            <w:tcW w:type="dxa" w:w="8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QA scan: banned vocabulary, no-eyebrow, no fabricated stats, WCAG contrast</w:t>
            </w:r>
          </w:p>
        </w:tc>
      </w:tr>
    </w:tbl>
    <w:p>
      <w:pPr>
        <w:keepNext/>
        <w:pBdr>
          <w:bottom w:val="single" w:color="E8751A" w:sz="14" w:space="8"/>
        </w:pBdr>
        <w:spacing w:after="150" w:before="300" w:line="300"/>
      </w:pPr>
      <w:r>
        <w:rPr>
          <w:rFonts w:ascii="Poppins" w:cs="Poppins" w:eastAsia="Poppins" w:hAnsi="Poppins"/>
          <w:b/>
          <w:bCs/>
          <w:color w:val="1B3C6E"/>
          <w:sz w:val="30"/>
          <w:szCs w:val="30"/>
        </w:rPr>
        <w:t xml:space="preserve">12. Open Items &amp; Blockers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B3646"/>
          <w:sz w:val="20"/>
          <w:szCs w:val="20"/>
        </w:rPr>
        <w:t xml:space="preserve">What still gates a clean launch of this page. Hard items stop the page; soft items ship as a visible token and are filled later. Full site-wide register lives in Content Strategy §10.</w:t>
      </w:r>
    </w:p>
    <w:tbl>
      <w:tblPr>
        <w:tblW w:type="dxa" w:w="9360"/>
        <w:tblBorders>
          <w:top w:val="single" w:color="D5DCE6" w:sz="4"/>
          <w:left w:val="single" w:color="D5DCE6" w:sz="4"/>
          <w:bottom w:val="single" w:color="D5DCE6" w:sz="4"/>
          <w:right w:val="single" w:color="D5DCE6" w:sz="4"/>
          <w:insideH w:val="single" w:color="D5DCE6" w:sz="4"/>
          <w:insideV w:val="single" w:color="D5DCE6" w:sz="4"/>
        </w:tblBorders>
        <w:tblLayout w:type="fixed"/>
      </w:tblPr>
      <w:tblGrid>
        <w:gridCol w:w="3321"/>
        <w:gridCol w:w="4328"/>
        <w:gridCol w:w="1711"/>
      </w:tblGrid>
      <w:tr>
        <w:trPr>
          <w:cantSplit/>
          <w:tblHeader/>
        </w:trPr>
        <w:tc>
          <w:tcPr>
            <w:tcW w:type="dxa" w:w="3321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328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Effect on the homepage</w:t>
            </w:r>
          </w:p>
        </w:tc>
        <w:tc>
          <w:tcPr>
            <w:tcW w:type="dxa" w:w="1711"/>
            <w:shd w:fill="1B3C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44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rPr>
          <w:cantSplit/>
          <w:tblHeader w:val="false"/>
        </w:trPr>
        <w:tc>
          <w:tcPr>
            <w:tcW w:type="dxa" w:w="33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Machine-floor rows (Board preview)</w:t>
            </w:r>
          </w:p>
        </w:tc>
        <w:tc>
          <w:tcPr>
            <w:tcW w:type="dxa" w:w="432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Block 5 ships with dashed gaps until 3 real rows exist</w:t>
            </w:r>
          </w:p>
        </w:tc>
        <w:tc>
          <w:tcPr>
            <w:tcW w:type="dxa" w:w="171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261E"/>
                <w:sz w:val="18"/>
                <w:szCs w:val="18"/>
              </w:rPr>
              <w:t xml:space="preserve">HARD</w:t>
            </w:r>
          </w:p>
        </w:tc>
      </w:tr>
      <w:tr>
        <w:trPr>
          <w:cantSplit/>
          <w:tblHeader w:val="false"/>
        </w:trPr>
        <w:tc>
          <w:tcPr>
            <w:tcW w:type="dxa" w:w="33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Payment methods (EBT / LINK reality)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Trust strip + FAQ can’t finalise</w:t>
            </w:r>
          </w:p>
        </w:tc>
        <w:tc>
          <w:tcPr>
            <w:tcW w:type="dxa" w:w="17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261E"/>
                <w:sz w:val="18"/>
                <w:szCs w:val="18"/>
              </w:rPr>
              <w:t xml:space="preserve">HARD</w:t>
            </w:r>
          </w:p>
        </w:tc>
      </w:tr>
      <w:tr>
        <w:trPr>
          <w:cantSplit/>
          <w:tblHeader w:val="false"/>
        </w:trPr>
        <w:tc>
          <w:tcPr>
            <w:tcW w:type="dxa" w:w="33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Hours of operation</w:t>
            </w:r>
          </w:p>
        </w:tc>
        <w:tc>
          <w:tcPr>
            <w:tcW w:type="dxa" w:w="432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Trust strip, FAQ, schema openingHours</w:t>
            </w:r>
          </w:p>
        </w:tc>
        <w:tc>
          <w:tcPr>
            <w:tcW w:type="dxa" w:w="171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261E"/>
                <w:sz w:val="18"/>
                <w:szCs w:val="18"/>
              </w:rPr>
              <w:t xml:space="preserve">HARD</w:t>
            </w:r>
          </w:p>
        </w:tc>
      </w:tr>
      <w:tr>
        <w:trPr>
          <w:cantSplit/>
          <w:tblHeader w:val="false"/>
        </w:trPr>
        <w:tc>
          <w:tcPr>
            <w:tcW w:type="dxa" w:w="33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Ownership date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Trust-strip reset line</w:t>
            </w:r>
          </w:p>
        </w:tc>
        <w:tc>
          <w:tcPr>
            <w:tcW w:type="dxa" w:w="17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261E"/>
                <w:sz w:val="18"/>
                <w:szCs w:val="18"/>
              </w:rPr>
              <w:t xml:space="preserve">HARD</w:t>
            </w:r>
          </w:p>
        </w:tc>
      </w:tr>
      <w:tr>
        <w:trPr>
          <w:cantSplit/>
          <w:tblHeader w:val="false"/>
        </w:trPr>
        <w:tc>
          <w:tcPr>
            <w:tcW w:type="dxa" w:w="33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432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Hero, header, footer, tel:, schema</w:t>
            </w:r>
          </w:p>
        </w:tc>
        <w:tc>
          <w:tcPr>
            <w:tcW w:type="dxa" w:w="171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261E"/>
                <w:sz w:val="18"/>
                <w:szCs w:val="18"/>
              </w:rPr>
              <w:t xml:space="preserve">HARD</w:t>
            </w:r>
          </w:p>
        </w:tc>
      </w:tr>
      <w:tr>
        <w:trPr>
          <w:cantSplit/>
          <w:tblHeader w:val="false"/>
        </w:trPr>
        <w:tc>
          <w:tcPr>
            <w:tcW w:type="dxa" w:w="33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Exact Cents booking URL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CTA works via resolver; state 1 pending</w:t>
            </w:r>
          </w:p>
        </w:tc>
        <w:tc>
          <w:tcPr>
            <w:tcW w:type="dxa" w:w="17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F8F46"/>
                <w:sz w:val="18"/>
                <w:szCs w:val="18"/>
              </w:rPr>
              <w:t xml:space="preserve">Soft</w:t>
            </w:r>
          </w:p>
        </w:tc>
      </w:tr>
      <w:tr>
        <w:trPr>
          <w:cantSplit/>
          <w:tblHeader w:val="false"/>
        </w:trPr>
        <w:tc>
          <w:tcPr>
            <w:tcW w:type="dxa" w:w="33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Real machine-floor photography</w:t>
            </w:r>
          </w:p>
        </w:tc>
        <w:tc>
          <w:tcPr>
            <w:tcW w:type="dxa" w:w="432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Hero + og:image placeholder until supplied</w:t>
            </w:r>
          </w:p>
        </w:tc>
        <w:tc>
          <w:tcPr>
            <w:tcW w:type="dxa" w:w="171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Soft</w:t>
            </w:r>
          </w:p>
        </w:tc>
      </w:tr>
      <w:tr>
        <w:trPr>
          <w:cantSplit/>
          <w:tblHeader w:val="false"/>
        </w:trPr>
        <w:tc>
          <w:tcPr>
            <w:tcW w:type="dxa" w:w="33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Phone text-capability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Text-us link omitted until confirmed</w:t>
            </w:r>
          </w:p>
        </w:tc>
        <w:tc>
          <w:tcPr>
            <w:tcW w:type="dxa" w:w="17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Soft</w:t>
            </w:r>
          </w:p>
        </w:tc>
      </w:tr>
      <w:tr>
        <w:trPr>
          <w:cantSplit/>
          <w:tblHeader w:val="false"/>
        </w:trPr>
        <w:tc>
          <w:tcPr>
            <w:tcW w:type="dxa" w:w="332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Social profile URLs</w:t>
            </w:r>
          </w:p>
        </w:tc>
        <w:tc>
          <w:tcPr>
            <w:tcW w:type="dxa" w:w="4328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Footer links + sameAs held</w:t>
            </w:r>
          </w:p>
        </w:tc>
        <w:tc>
          <w:tcPr>
            <w:tcW w:type="dxa" w:w="1711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Soft</w:t>
            </w:r>
          </w:p>
        </w:tc>
      </w:tr>
      <w:tr>
        <w:trPr>
          <w:cantSplit/>
          <w:tblHeader w:val="false"/>
        </w:trPr>
        <w:tc>
          <w:tcPr>
            <w:tcW w:type="dxa" w:w="332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Delivery ring + turnaround</w:t>
            </w:r>
          </w:p>
        </w:tc>
        <w:tc>
          <w:tcPr>
            <w:tcW w:type="dxa" w:w="4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Neighbourhoods block + P&amp;D steps</w:t>
            </w:r>
          </w:p>
        </w:tc>
        <w:tc>
          <w:tcPr>
            <w:tcW w:type="dxa" w:w="17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6A00"/>
                <w:sz w:val="18"/>
                <w:szCs w:val="18"/>
              </w:rPr>
              <w:t xml:space="preserve">Soft</w:t>
            </w:r>
          </w:p>
        </w:tc>
      </w:tr>
    </w:tbl>
    <w:tbl>
      <w:tblPr>
        <w:tblW w:type="dxa" w:w="9360"/>
        <w:tblBorders>
          <w:top w:val="single" w:color="B26A00" w:sz="3"/>
          <w:left w:val="single" w:color="B26A00" w:sz="26"/>
          <w:bottom w:val="single" w:color="B26A00" w:sz="3"/>
          <w:right w:val="single" w:color="B26A00" w:sz="3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BF1E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58"/>
            </w:pPr>
            <w:r>
              <w:rPr>
                <w:rFonts w:ascii="Poppins" w:cs="Poppins" w:eastAsia="Poppins" w:hAnsi="Poppins"/>
                <w:b/>
                <w:bCs/>
                <w:color w:val="B26A00"/>
                <w:sz w:val="18"/>
                <w:szCs w:val="18"/>
              </w:rPr>
              <w:t xml:space="preserve">CLOSED SINCE v2.0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Booking platform (Cents) and the two-language decision are settled.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3646"/>
                <w:sz w:val="18"/>
                <w:szCs w:val="18"/>
              </w:rPr>
              <w:t xml:space="preserve">Booking is no longer a critical blocker; the exact Cents URL is a soft token behind the resolver. Polish is dropped — the homepage is English + Spanish only, with no reserved third-locale slot.</w:t>
            </w:r>
          </w:p>
        </w:tc>
      </w:tr>
    </w:tbl>
    <w:p>
      <w:pPr>
        <w:spacing w:after="200"/>
      </w:pPr>
    </w:p>
    <w:p>
      <w:pPr>
        <w:keepNext w:val="false"/>
        <w:spacing w:after="120" w:before="0" w:line="264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A7686"/>
          <w:sz w:val="20"/>
          <w:szCs w:val="20"/>
        </w:rPr>
        <w:t xml:space="preserve">End of document.</w:t>
      </w:r>
    </w:p>
    <w:p>
      <w:pPr>
        <w:keepNext w:val="false"/>
        <w:spacing w:after="120" w:before="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A7686"/>
          <w:sz w:val="15"/>
          <w:szCs w:val="15"/>
        </w:rPr>
        <w:t xml:space="preserve">Laundry Station — Homepage Developer Guide v3.0  ·  Prepared by TradeWorks AI  ·  July 2026</w:t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680" w:footer="6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6" w:sz="3" w:space="6"/>
      </w:pBdr>
      <w:tabs>
        <w:tab w:val="right" w:pos="9360"/>
      </w:tabs>
      <w:spacing w:after="0" w:before="0" w:line="240"/>
    </w:pPr>
    <w:r>
      <w:rPr>
        <w:rFonts w:ascii="Arial" w:cs="Arial" w:eastAsia="Arial" w:hAnsi="Arial"/>
        <w:color w:val="6A7686"/>
        <w:sz w:val="14"/>
        <w:szCs w:val="14"/>
      </w:rPr>
      <w:t xml:space="preserve">TradeWorks AI  ·  Client Confidential</w:t>
    </w:r>
    <w:r>
      <w:ptab w:alignment="right" w:relativeTo="margin" w:leader="none"/>
    </w:r>
    <w:r>
      <w:rPr>
        <w:rFonts w:ascii="Arial" w:cs="Arial" w:eastAsia="Arial" w:hAnsi="Arial"/>
        <w:color w:val="6A7686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6" w:sz="3" w:space="6"/>
      </w:pBdr>
      <w:tabs>
        <w:tab w:val="right" w:pos="9360"/>
      </w:tabs>
      <w:spacing w:after="0" w:line="240"/>
    </w:pPr>
    <w:r>
      <w:rPr>
        <w:rFonts w:ascii="Poppins" w:cs="Poppins" w:eastAsia="Poppins" w:hAnsi="Poppins"/>
        <w:b/>
        <w:bCs/>
        <w:color w:val="1B3C6E"/>
        <w:sz w:val="15"/>
        <w:szCs w:val="15"/>
      </w:rPr>
      <w:t xml:space="preserve">LAUNDRY STATION</w:t>
    </w:r>
    <w:r>
      <w:ptab w:alignment="right" w:relativeTo="margin" w:leader="none"/>
    </w:r>
    <w:r>
      <w:rPr>
        <w:rFonts w:ascii="Arial" w:cs="Arial" w:eastAsia="Arial" w:hAnsi="Arial"/>
        <w:color w:val="6A7686"/>
        <w:sz w:val="15"/>
        <w:szCs w:val="15"/>
      </w:rPr>
      <w:t xml:space="preserve">Homepage Developer Guide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8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abstractNum w:abstractNumId="9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  <w:color w:val="2E86AB"/>
      </w:rPr>
    </w:lvl>
    <w:lvl w:ilvl="1" w15:tentative="1">
      <w:start w:val="1"/>
      <w:numFmt w:val="bullet"/>
      <w:lvlText w:val="–"/>
      <w:lvlJc w:val="left"/>
      <w:pPr>
        <w:ind w:left="700" w:hanging="220"/>
      </w:pPr>
      <w:rPr>
        <w:rFonts w:ascii="Arial" w:cs="Arial" w:eastAsia="Arial" w:hAnsi="Arial"/>
        <w:color w:val="6A76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64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Laundry Station — Homepage Developer Guide v3.0</dc:title>
  <dc:creator>TradeWorks AI</dc:creator>
  <dc:description>Laundry Station — Website Content Strategy &amp; Plan v1.0</dc:description>
  <cp:lastModifiedBy>Un-named</cp:lastModifiedBy>
  <cp:revision>1</cp:revision>
  <dcterms:created xsi:type="dcterms:W3CDTF">2026-07-29T16:20:28.183Z</dcterms:created>
  <dcterms:modified xsi:type="dcterms:W3CDTF">2026-07-29T16:20:28.183Z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