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Ironing &amp; Pressing</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smallest page on the site — assembled entirely from parts already built.</w:t>
      </w:r>
    </w:p>
    <w:p>
      <w:pPr>
        <w:spacing w:after="60" w:line="288"/>
      </w:pPr>
      <w:r>
        <w:rPr>
          <w:rFonts w:ascii="Arial" w:cs="Arial" w:eastAsia="Arial" w:hAnsi="Arial"/>
          <w:color w:val="6A7686"/>
          <w:sz w:val="20"/>
          <w:szCs w:val="20"/>
        </w:rPr>
        <w:t xml:space="preserve">/services/ironing-pressing/  ·  Laundry Station  ·  Hero variant B</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Ironing Developer Guide v1.0 · Ironing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New components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None — and no new patterns either. Every block reuses an existing arrangement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Design risk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 page whose central table is entirely blocked; §5 addresses how it renders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wireframe at 320 / 375 / 900 / 1400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Smallest Page, Built From Parts</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Page in One Look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Block-by-Block Craft Spec</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3.1 Hero</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3.2 What we press — the category list</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3.3 The per-item price table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3.4 How it works — the four-step variant</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3.5 Care and handling</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3.6 FAQ, conversion and related</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The Photography Problem</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Blocked Tables — Designing an Empty Price List</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Responsive Behaviour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Smallest Page, Built From Parts</w:t>
      </w:r>
    </w:p>
    <w:p>
      <w:pPr>
        <w:keepNext w:val="false"/>
        <w:spacing w:after="120" w:before="0" w:line="264"/>
      </w:pPr>
      <w:r>
        <w:rPr>
          <w:rFonts w:ascii="Arial" w:cs="Arial" w:eastAsia="Arial" w:hAnsi="Arial"/>
          <w:b/>
          <w:bCs/>
          <w:i w:val="false"/>
          <w:iCs w:val="false"/>
          <w:caps w:val="false"/>
          <w:color w:val="1B3C6E"/>
          <w:sz w:val="20"/>
          <w:szCs w:val="20"/>
        </w:rPr>
        <w:t xml:space="preserve">This page introduces nothing. That is the achievement, not a shortcoming. </w:t>
      </w:r>
      <w:r>
        <w:rPr>
          <w:rFonts w:ascii="Arial" w:cs="Arial" w:eastAsia="Arial" w:hAnsi="Arial"/>
          <w:b w:val="false"/>
          <w:bCs w:val="false"/>
          <w:i w:val="false"/>
          <w:iCs w:val="false"/>
          <w:caps w:val="false"/>
          <w:color w:val="2B3646"/>
          <w:sz w:val="20"/>
          <w:szCs w:val="20"/>
        </w:rPr>
        <w:t xml:space="preserve">Seven pages into the system, a new service page should be assemblable from existing components in existing arrangements, and this one is: hero variant B, a category list, a two-column rate table, a four-step flow, a care list, an accordion, a conversion band, two related cards. If a design system is working, the seventh page costs a fraction of the first.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Reused from</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B</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Commercial</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Category list</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segment grid, reduced to a list</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table</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secondary rate tables</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Four-step flow</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Pickup &amp; Delivery, Commercial — fourth use</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Care list</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“what’s included”</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accordion</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page</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 + related cards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service page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FOURTH USE OF THE STEP FLOW</w:t>
            </w:r>
          </w:p>
          <w:p>
            <w:pPr>
              <w:spacing w:after="0" w:line="258"/>
            </w:pPr>
            <w:r>
              <w:rPr>
                <w:rFonts w:ascii="Arial" w:cs="Arial" w:eastAsia="Arial" w:hAnsi="Arial"/>
                <w:b/>
                <w:bCs/>
                <w:i w:val="false"/>
                <w:iCs w:val="false"/>
                <w:caps w:val="false"/>
                <w:color w:val="2B3646"/>
                <w:sz w:val="18"/>
                <w:szCs w:val="18"/>
              </w:rPr>
              <w:t xml:space="preserve">A component used four times across seven pages has become a pattern the visitor recognises. </w:t>
            </w:r>
            <w:r>
              <w:rPr>
                <w:rFonts w:ascii="Arial" w:cs="Arial" w:eastAsia="Arial" w:hAnsi="Arial"/>
                <w:b w:val="false"/>
                <w:bCs w:val="false"/>
                <w:i w:val="false"/>
                <w:iCs w:val="false"/>
                <w:caps w:val="false"/>
                <w:color w:val="2B3646"/>
                <w:sz w:val="18"/>
                <w:szCs w:val="18"/>
              </w:rPr>
              <w:t xml:space="preserve">That recognition is worth protecting: no page may vary the step flow’s numeral size, connector treatment or collapse behaviour for local reasons. The only permitted variation remains the homepage’s smaller scale, which was specified when the component was defined.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Page in One Look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214"/>
        <w:gridCol w:w="2013"/>
        <w:gridCol w:w="46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B)</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lede, two buttons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is</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68ch</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 press</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Five-row category list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pricing</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Two-column table, 720px</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it works</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Four-step flow</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Care and handling</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Four-item list, 20px icons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Accordion × 6</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 &amp; related</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 / --surface-1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Action row + card × 2</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Surfaces alternate cleanly 1-2-1-2-1-2-1-3-1. Amber appears twice: the header CTA and the conversion primary. The hero’s primary is “Get directions,” which takes the amber slot in that band — a drop-off service converts to a visit, not a booking, and the button should say so.</w:t>
      </w:r>
    </w:p>
    <w:p>
      <w:pPr>
        <w:keepNext/>
        <w:pBdr>
          <w:bottom w:val="single" w:color="E8751A" w:sz="14" w:space="8"/>
        </w:pBdr>
        <w:spacing w:after="150" w:before="300" w:line="300"/>
      </w:pPr>
      <w:r>
        <w:rPr>
          <w:rFonts w:ascii="Poppins" w:cs="Poppins" w:eastAsia="Poppins" w:hAnsi="Poppins"/>
          <w:b/>
          <w:bCs/>
          <w:color w:val="1B3C6E"/>
          <w:sz w:val="30"/>
          <w:szCs w:val="30"/>
        </w:rPr>
        <w:t xml:space="preserve">3. Block-by-Block Craft Spec</w:t>
      </w:r>
    </w:p>
    <w:p>
      <w:pPr>
        <w:keepNext/>
        <w:spacing w:after="110" w:before="260" w:line="288"/>
      </w:pPr>
      <w:r>
        <w:rPr>
          <w:rFonts w:ascii="Poppins" w:cs="Poppins" w:eastAsia="Poppins" w:hAnsi="Poppins"/>
          <w:b/>
          <w:bCs/>
          <w:color w:val="1B3C6E"/>
          <w:sz w:val="23"/>
          <w:szCs w:val="23"/>
        </w:rPr>
        <w:t xml:space="preserve">3.1 Hero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Standard variant B: --surface-2, --sp-8 vertical, H1 step, lede at 56ch, primary plus secondary button, no photograph. The only page-specific decision is the primary label — “Get directions” rather than “Schedule Pickup,” because pressing has no booking flow. It opens the map link and fires directions_click.</w:t>
      </w:r>
    </w:p>
    <w:p>
      <w:pPr>
        <w:keepNext/>
        <w:spacing w:after="110" w:before="260" w:line="288"/>
      </w:pPr>
      <w:r>
        <w:rPr>
          <w:rFonts w:ascii="Poppins" w:cs="Poppins" w:eastAsia="Poppins" w:hAnsi="Poppins"/>
          <w:b/>
          <w:bCs/>
          <w:color w:val="1B3C6E"/>
          <w:sz w:val="23"/>
          <w:szCs w:val="23"/>
        </w:rPr>
        <w:t xml:space="preserve">3.2 What we press — the category 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list, not a card grid — five rows on --surface-2</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20px --brand-support line icon, category name in --text-1 Archivo 600, items in --text-2</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 at desktop, single column below 900</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Interaction</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rows carry text links — uniforms to Commercial, linens to Oversized</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 row</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Suits &amp; jackets renders as a SWAP token until the gate resolves</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A LIST AND NOT THE CARD GRID</w:t>
            </w:r>
          </w:p>
          <w:p>
            <w:pPr>
              <w:spacing w:after="0" w:line="258"/>
            </w:pPr>
            <w:r>
              <w:rPr>
                <w:rFonts w:ascii="Arial" w:cs="Arial" w:eastAsia="Arial" w:hAnsi="Arial"/>
                <w:b/>
                <w:bCs/>
                <w:i w:val="false"/>
                <w:iCs w:val="false"/>
                <w:caps w:val="false"/>
                <w:color w:val="2B3646"/>
                <w:sz w:val="18"/>
                <w:szCs w:val="18"/>
              </w:rPr>
              <w:t xml:space="preserve">The Commercial page uses cards for six segments because each carries three lines of content and a distinct audience. </w:t>
            </w:r>
            <w:r>
              <w:rPr>
                <w:rFonts w:ascii="Arial" w:cs="Arial" w:eastAsia="Arial" w:hAnsi="Arial"/>
                <w:b w:val="false"/>
                <w:bCs w:val="false"/>
                <w:i w:val="false"/>
                <w:iCs w:val="false"/>
                <w:caps w:val="false"/>
                <w:color w:val="2B3646"/>
                <w:sz w:val="18"/>
                <w:szCs w:val="18"/>
              </w:rPr>
              <w:t xml:space="preserve">Here each row is a category and a handful of nouns — too thin to justify a card, and six cards on a page this short would make it feel padded. The same information as a list reads as a straightforward answer to “what do you take?”</w:t>
            </w:r>
          </w:p>
        </w:tc>
      </w:tr>
    </w:tbl>
    <w:p>
      <w:pPr>
        <w:keepNext/>
        <w:spacing w:after="110" w:before="260" w:line="288"/>
      </w:pPr>
      <w:r>
        <w:rPr>
          <w:rFonts w:ascii="Poppins" w:cs="Poppins" w:eastAsia="Poppins" w:hAnsi="Poppins"/>
          <w:b/>
          <w:bCs/>
          <w:color w:val="1B3C6E"/>
          <w:sz w:val="23"/>
          <w:szCs w:val="23"/>
        </w:rPr>
        <w:t xml:space="preserve">3.3 The per-item price table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 rate table — identical to Pricing §4</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Container</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sits directly on --surface-1</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Width</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Max 720px, left-aligned — never the full 1200px container</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Columns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Item (left, --text-2) and Price (right, tabular, Archivo 600, --text-1)</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per item; no grouping headers unless the list exceeds ten rows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Zebra</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if over six rows, off below</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Below 600</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label / value pairs — no horizontal scroll</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Beneath</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line linking to /pricing/, Small step, --text-mute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720px cap matters more here than anywhere. A two-column table of short items stretched across a wide container puts “Dress shirt” and its price at opposite ends of a 1200px row, which is the single most common way a simple price list becomes unreadable on a large screen.</w:t>
      </w:r>
    </w:p>
    <w:p>
      <w:pPr>
        <w:keepNext/>
        <w:spacing w:after="110" w:before="260" w:line="288"/>
      </w:pPr>
      <w:r>
        <w:rPr>
          <w:rFonts w:ascii="Poppins" w:cs="Poppins" w:eastAsia="Poppins" w:hAnsi="Poppins"/>
          <w:b/>
          <w:bCs/>
          <w:color w:val="1B3C6E"/>
          <w:sz w:val="23"/>
          <w:szCs w:val="23"/>
        </w:rPr>
        <w:t xml:space="preserve">3.4 How it works — the four-step variant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Standard four-step flow, 40px Archivo numerals, --line connectors, 4 across → 2×2 at 900 → vertical below 600. One page-specific emphasis: step 2, the label check, carries slightly longer copy than the other three and must not be visually shortened to balance the row. Equal-height steps with unequal copy is correct here; the content leads.</w:t>
      </w:r>
    </w:p>
    <w:p>
      <w:pPr>
        <w:keepNext/>
        <w:spacing w:after="110" w:before="260" w:line="288"/>
      </w:pPr>
      <w:r>
        <w:rPr>
          <w:rFonts w:ascii="Poppins" w:cs="Poppins" w:eastAsia="Poppins" w:hAnsi="Poppins"/>
          <w:b/>
          <w:bCs/>
          <w:color w:val="1B3C6E"/>
          <w:sz w:val="23"/>
          <w:szCs w:val="23"/>
        </w:rPr>
        <w:t xml:space="preserve">3.5 Care and handling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Four items on --surface-1, 20px --brand-support icons, bold lead clause in --text-1, remainder --text-2. Single column at all breakpoints — these are sentences about handling, and splitting them into two columns makes a short block look like a feature matrix.</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THIS BLOCK MUST NOT LOOK LIKE A DISCLAIMER</w:t>
            </w:r>
          </w:p>
          <w:p>
            <w:pPr>
              <w:spacing w:after="0" w:line="258"/>
            </w:pPr>
            <w:r>
              <w:rPr>
                <w:rFonts w:ascii="Arial" w:cs="Arial" w:eastAsia="Arial" w:hAnsi="Arial"/>
                <w:b/>
                <w:bCs/>
                <w:i w:val="false"/>
                <w:iCs w:val="false"/>
                <w:caps w:val="false"/>
                <w:color w:val="2B3646"/>
                <w:sz w:val="18"/>
                <w:szCs w:val="18"/>
              </w:rPr>
              <w:t xml:space="preserve">No box, no border, no tinted panel, no warning icon, no smaller type. </w:t>
            </w:r>
            <w:r>
              <w:rPr>
                <w:rFonts w:ascii="Arial" w:cs="Arial" w:eastAsia="Arial" w:hAnsi="Arial"/>
                <w:b w:val="false"/>
                <w:bCs w:val="false"/>
                <w:i w:val="false"/>
                <w:iCs w:val="false"/>
                <w:caps w:val="false"/>
                <w:color w:val="2B3646"/>
                <w:sz w:val="18"/>
                <w:szCs w:val="18"/>
              </w:rPr>
              <w:t xml:space="preserve">The content is care statements, and any treatment that reads as fine print converts them into a liability notice — which is exactly the tone the developer guide §3 keeps off this page. It looks identical to the “what’s included” block on Pickup &amp; Delivery, because it is doing the same job.</w:t>
            </w:r>
          </w:p>
        </w:tc>
      </w:tr>
    </w:tbl>
    <w:p>
      <w:pPr>
        <w:keepNext/>
        <w:spacing w:after="110" w:before="260" w:line="288"/>
      </w:pPr>
      <w:r>
        <w:rPr>
          <w:rFonts w:ascii="Poppins" w:cs="Poppins" w:eastAsia="Poppins" w:hAnsi="Poppins"/>
          <w:b/>
          <w:bCs/>
          <w:color w:val="1B3C6E"/>
          <w:sz w:val="23"/>
          <w:szCs w:val="23"/>
        </w:rPr>
        <w:t xml:space="preserve">3.6 FAQ, conversion and related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accordion rows on --surface-2, all closed. Conversion band on --surface-3 carries Get directions (amber), Call, and hours as plain text. Related cards: Wash &amp; Fold and Commercial, standard treatment, both linking.</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Photography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page has no good photograph available, and that needs stating rather than discovering during the build.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Option</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Problem</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3 — folding table with attendant</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Already the Wash &amp; Fold hero; folding is not pressing</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rack of finished garments in covers</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Reads as a dry cleaner — directly violates the §2 boundary</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press or steam finisher in use</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Only if the store actually has one; a domestic iron photographs badly</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Stock imagery of pressed shirts</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Banned — not this store’s garments</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photograph</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Recommended for v1</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GARMENT-RACK IMAGE IS THE TRAP</w:t>
            </w:r>
          </w:p>
          <w:p>
            <w:pPr>
              <w:spacing w:after="0" w:line="258"/>
            </w:pPr>
            <w:r>
              <w:rPr>
                <w:rFonts w:ascii="Arial" w:cs="Arial" w:eastAsia="Arial" w:hAnsi="Arial"/>
                <w:b/>
                <w:bCs/>
                <w:i w:val="false"/>
                <w:iCs w:val="false"/>
                <w:caps w:val="false"/>
                <w:color w:val="2B3646"/>
                <w:sz w:val="18"/>
                <w:szCs w:val="18"/>
              </w:rPr>
              <w:t xml:space="preserve">A rail of shirts in polythene covers is the single most recognisable visual signifier of a dry cleaner. </w:t>
            </w:r>
            <w:r>
              <w:rPr>
                <w:rFonts w:ascii="Arial" w:cs="Arial" w:eastAsia="Arial" w:hAnsi="Arial"/>
                <w:b w:val="false"/>
                <w:bCs w:val="false"/>
                <w:i w:val="false"/>
                <w:iCs w:val="false"/>
                <w:caps w:val="false"/>
                <w:color w:val="2B3646"/>
                <w:sz w:val="18"/>
                <w:szCs w:val="18"/>
              </w:rPr>
              <w:t xml:space="preserve">Putting one on this page would communicate “dry cleaning available” more loudly than any sentence could deny it — and would do so in an image, where the scope boundary is hardest to police and easiest to forget during a later refresh. If the store does hang finished items, photograph them on hangers without covers, or not at all.</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Running this page with no photograph is entirely acceptable. It is short, text-led, and its most valuable content is a price table. A missing image costs nothing here; a wrong one costs the scope boundary.</w:t>
      </w:r>
    </w:p>
    <w:p>
      <w:pPr>
        <w:keepNext/>
        <w:pBdr>
          <w:bottom w:val="single" w:color="E8751A" w:sz="14" w:space="8"/>
        </w:pBdr>
        <w:spacing w:after="150" w:before="300" w:line="300"/>
      </w:pPr>
      <w:r>
        <w:rPr>
          <w:rFonts w:ascii="Poppins" w:cs="Poppins" w:eastAsia="Poppins" w:hAnsi="Poppins"/>
          <w:b/>
          <w:bCs/>
          <w:color w:val="1B3C6E"/>
          <w:sz w:val="30"/>
          <w:szCs w:val="30"/>
        </w:rPr>
        <w:t xml:space="preserve">5. Blocked Tables — Designing an Empty Price List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row of the central table is blocked. The wireframe still has to be reviewable, and the review has to make the cost of the gap obvious.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Wireframe treatment</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Item names</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Rendered normally — these are known</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Dashed amber SWAP token per row, showing {{PRESS_&lt;ITEM&gt;}}</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count</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Eight illustrative rows so the table has believable proportions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Suits row</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token in both columns — the item itself is gated</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Annotation</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callout: “All prices blocked — shared source, §9 of the developer guide”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WHY EIGHT ROWS RATHER THAN THREE</w:t>
            </w:r>
          </w:p>
          <w:p>
            <w:pPr>
              <w:spacing w:after="0" w:line="258"/>
            </w:pPr>
            <w:r>
              <w:rPr>
                <w:rFonts w:ascii="Arial" w:cs="Arial" w:eastAsia="Arial" w:hAnsi="Arial"/>
                <w:b/>
                <w:bCs/>
                <w:i w:val="false"/>
                <w:iCs w:val="false"/>
                <w:caps w:val="false"/>
                <w:color w:val="2B3646"/>
                <w:sz w:val="18"/>
                <w:szCs w:val="18"/>
              </w:rPr>
              <w:t xml:space="preserve">A three-row placeholder table looks fine at every breakpoint and hides the real layout question. </w:t>
            </w:r>
            <w:r>
              <w:rPr>
                <w:rFonts w:ascii="Arial" w:cs="Arial" w:eastAsia="Arial" w:hAnsi="Arial"/>
                <w:b w:val="false"/>
                <w:bCs w:val="false"/>
                <w:i w:val="false"/>
                <w:iCs w:val="false"/>
                <w:caps w:val="false"/>
                <w:color w:val="2B3646"/>
                <w:sz w:val="18"/>
                <w:szCs w:val="18"/>
              </w:rPr>
              <w:t xml:space="preserve">Eight rows is closer to the likely final list, and it is what surfaces the decisions that matter: whether zebra striping is needed, whether the 720px cap holds, and how the stacked mobile version reads at length. Placeholder quantity should approximate reality even when placeholder content cannot.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2214"/>
        <w:gridCol w:w="2214"/>
        <w:gridCol w:w="2919"/>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 inline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 inline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full width</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 press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table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 at 720px</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 full width</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label / value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Step flow</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across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 2</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Vertical, no connectors</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Care list</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width</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44px+ rows</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Related</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cards across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across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 Call and Directions, no Schedule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sticky bar on this page carries Call and Get directions rather than Call and Schedule Pickup, matching the page’s conversion. That is the second per-page sticky-bar exception on the site, after Commercial — both should be flagged together in the wireframe annotation so the pattern is visible to whoever builds the component.</w:t>
      </w:r>
    </w:p>
    <w:p>
      <w:pPr>
        <w:keepNext/>
        <w:pBdr>
          <w:bottom w:val="single" w:color="E8751A" w:sz="14" w:space="8"/>
        </w:pBdr>
        <w:spacing w:after="150" w:before="300" w:line="300"/>
      </w:pPr>
      <w:r>
        <w:rPr>
          <w:rFonts w:ascii="Poppins" w:cs="Poppins" w:eastAsia="Poppins" w:hAnsi="Poppins"/>
          <w:b/>
          <w:bCs/>
          <w:color w:val="1B3C6E"/>
          <w:sz w:val="30"/>
          <w:szCs w:val="30"/>
        </w:rPr>
        <w:t xml:space="preserve">7.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answer-first H1,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B; primary is Get directions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Eight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1-2-1-2-1-2-1-3-1 — 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on the page; sticky bar on mobile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Category list links sit on --surface-2 — use --link-tint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inputs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 tabular figures</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column tabular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off-scale values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Zero new components and zero new arrangements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table stacks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images — deliberate (§4)</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outcome guarantees, no stain-removal claims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Eight-row blocked table verified at all four</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Ironing &amp; Pressing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Ironing &amp; Pressing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Ironing &amp; Pressing Design Guide v1.0</dc:title>
  <dc:creator>TradeWorks AI</dc:creator>
  <dc:description>Laundry Station — Website Content Strategy &amp; Plan v1.0</dc:description>
  <cp:lastModifiedBy>Un-named</cp:lastModifiedBy>
  <cp:revision>1</cp:revision>
  <dcterms:created xsi:type="dcterms:W3CDTF">2026-07-29T20:40:14.460Z</dcterms:created>
  <dcterms:modified xsi:type="dcterms:W3CDTF">2026-07-29T20:40:14.461Z</dcterms:modified>
</cp:coreProperties>
</file>

<file path=docProps/custom.xml><?xml version="1.0" encoding="utf-8"?>
<Properties xmlns="http://schemas.openxmlformats.org/officeDocument/2006/custom-properties" xmlns:vt="http://schemas.openxmlformats.org/officeDocument/2006/docPropsVTypes"/>
</file>