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Laundry Station</w:t>
      </w:r>
    </w:p>
    <w:p>
      <w:pPr>
        <w:spacing w:after="40" w:line="340"/>
      </w:pPr>
      <w:r>
        <w:rPr>
          <w:rFonts w:ascii="Poppins" w:cs="Poppins" w:eastAsia="Poppins" w:hAnsi="Poppins"/>
          <w:b/>
          <w:bCs/>
          <w:color w:val="1B3C6E"/>
          <w:sz w:val="50"/>
          <w:szCs w:val="50"/>
        </w:rPr>
        <w:t xml:space="preserve">Launch Readiness Register</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Every outstanding item across thirteen pages and thirty-seven documents, consolidated into five sessions.</w:t>
      </w:r>
    </w:p>
    <w:p>
      <w:pPr>
        <w:spacing w:after="60" w:line="288"/>
      </w:pPr>
      <w:r>
        <w:rPr>
          <w:rFonts w:ascii="Arial" w:cs="Arial" w:eastAsia="Arial" w:hAnsi="Arial"/>
          <w:color w:val="6A7686"/>
          <w:sz w:val="20"/>
          <w:szCs w:val="20"/>
        </w:rPr>
        <w:t xml:space="preserve">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Covers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complete engagement — 13 pages, 37 documents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Purpose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 single owner-facing checklist; nothing new is specified here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Structure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Outstanding items grouped by who answers them, not by which page needs them</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Headline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Supersedes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individual value registers as the working tracker — they remain authoritative per page</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What This Document Is For</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Document Index</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Five Sessions Unblock Everything</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3.1 Session A — the floor walk</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3.2 Session B — the operations hour</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3.3 Session C — counsel</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3.4 Session D — the photo session</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3.5 Session E — Google Business Profile</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4. Decisions Only the Owner Can Make</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The Stop-Ship List</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Gaps in the Deliverable Set</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7. Build Sequence</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8. What Was Assumed, and How to Undo It</w:t>
      </w:r>
      <w:r>
        <w:rPr>
          <w:color w:val="6A7686"/>
          <w:sz w:val="17"/>
          <w:szCs w:val="17"/>
        </w:rPr>
        <w:ptab w:alignment="right" w:relativeTo="margin" w:leader="dot"/>
      </w:r>
      <w:r>
        <w:rPr>
          <w:rFonts w:ascii="Arial" w:cs="Arial" w:eastAsia="Arial" w:hAnsi="Arial"/>
          <w:b/>
          <w:bCs/>
          <w:color w:val="1B3C6E"/>
          <w:sz w:val="17"/>
          <w:szCs w:val="17"/>
        </w:rPr>
        <w:t xml:space="preserve">8</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What This Document Is For</w:t>
      </w:r>
    </w:p>
    <w:p>
      <w:pPr>
        <w:keepNext w:val="false"/>
        <w:spacing w:after="120" w:before="0" w:line="264"/>
      </w:pPr>
      <w:r>
        <w:rPr>
          <w:rFonts w:ascii="Arial" w:cs="Arial" w:eastAsia="Arial" w:hAnsi="Arial"/>
          <w:b/>
          <w:bCs/>
          <w:i w:val="false"/>
          <w:iCs w:val="false"/>
          <w:caps w:val="false"/>
          <w:color w:val="1B3C6E"/>
          <w:sz w:val="20"/>
          <w:szCs w:val="20"/>
        </w:rPr>
        <w:t xml:space="preserve">Thirteen pages each carry a value register listing what they are waiting on. Read separately they suggest an enormous amount of outstanding work. Consolidated, they do not. </w:t>
      </w:r>
      <w:r>
        <w:rPr>
          <w:rFonts w:ascii="Arial" w:cs="Arial" w:eastAsia="Arial" w:hAnsi="Arial"/>
          <w:b w:val="false"/>
          <w:bCs w:val="false"/>
          <w:i w:val="false"/>
          <w:iCs w:val="false"/>
          <w:caps w:val="false"/>
          <w:color w:val="2B3646"/>
          <w:sz w:val="20"/>
          <w:szCs w:val="20"/>
        </w:rPr>
        <w:t xml:space="preserve">The same twenty or so facts appear across many pages, and they cluster tightly by who can answer them and where. This document reorganises every outstanding item by session rather than by page, which turns a long list into an afternoon, an hour on the phone, and one conversation with a lawyer.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Nothing new is specified here. Every item traces to a page guide, and where the two ever disagree the page guide is authoritative.</w:t>
      </w:r>
    </w:p>
    <w:p>
      <w:pPr>
        <w:keepNext/>
        <w:pBdr>
          <w:bottom w:val="single" w:color="E8751A" w:sz="14" w:space="8"/>
        </w:pBdr>
        <w:spacing w:after="150" w:before="300" w:line="300"/>
      </w:pPr>
      <w:r>
        <w:rPr>
          <w:rFonts w:ascii="Poppins" w:cs="Poppins" w:eastAsia="Poppins" w:hAnsi="Poppins"/>
          <w:b/>
          <w:bCs/>
          <w:color w:val="1B3C6E"/>
          <w:sz w:val="30"/>
          <w:szCs w:val="30"/>
        </w:rPr>
        <w:t xml:space="preserve">2. The Document Index</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2415"/>
        <w:gridCol w:w="2214"/>
        <w:gridCol w:w="2114"/>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 / set</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Developer</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Design</w:t>
            </w:r>
          </w:p>
        </w:tc>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Foundation</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Content Strategy v1.1 · Design Supplement v1.0</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v3.0</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6A7686"/>
                <w:sz w:val="18"/>
                <w:szCs w:val="18"/>
              </w:rPr>
              <w:t xml:space="preserve">in Supplement §10</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not produced</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 hub</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 — needs v1.1</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missing</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&amp; Pressing</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 — The Board</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Legal bundle (3 pages)</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Language Guide v1.0</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This register</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v1.0</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Thirty-seven documents. Two gaps are known and tracked at §6.</w:t>
      </w:r>
    </w:p>
    <w:p>
      <w:pPr>
        <w:keepNext/>
        <w:pBdr>
          <w:bottom w:val="single" w:color="E8751A" w:sz="14" w:space="8"/>
        </w:pBdr>
        <w:spacing w:after="150" w:before="300" w:line="300"/>
      </w:pPr>
      <w:r>
        <w:rPr>
          <w:rFonts w:ascii="Poppins" w:cs="Poppins" w:eastAsia="Poppins" w:hAnsi="Poppins"/>
          <w:b/>
          <w:bCs/>
          <w:color w:val="1B3C6E"/>
          <w:sz w:val="30"/>
          <w:szCs w:val="30"/>
        </w:rPr>
        <w:t xml:space="preserve">3. Five Sessions Unblock Everything</w:t>
      </w:r>
    </w:p>
    <w:p>
      <w:pPr>
        <w:keepNext/>
        <w:spacing w:after="110" w:before="260" w:line="288"/>
      </w:pPr>
      <w:r>
        <w:rPr>
          <w:rFonts w:ascii="Poppins" w:cs="Poppins" w:eastAsia="Poppins" w:hAnsi="Poppins"/>
          <w:b/>
          <w:bCs/>
          <w:color w:val="1B3C6E"/>
          <w:sz w:val="23"/>
          <w:szCs w:val="23"/>
        </w:rPr>
        <w:t xml:space="preserve">3.1 Session A — the floor walk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7750"/>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Duration</w:t>
            </w:r>
          </w:p>
        </w:tc>
        <w:tc>
          <w:tcPr>
            <w:tcW w:type="dxa" w:w="775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Roughly 30 minutes, in the store, with a phone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Unblocks</w:t>
            </w:r>
          </w:p>
        </w:tc>
        <w:tc>
          <w:tcPr>
            <w:tcW w:type="dxa" w:w="775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 Pricing, Oversized, the homepage preview, FAQ group C, About</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Output</w:t>
            </w:r>
          </w:p>
        </w:tc>
        <w:tc>
          <w:tcPr>
            <w:tcW w:type="dxa" w:w="775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corrected machine floor and seven amenity answers</w:t>
            </w:r>
          </w:p>
        </w:tc>
      </w:tr>
    </w:tbl>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Correct the eight assumed machine rows </w:t>
      </w:r>
      <w:r>
        <w:rPr>
          <w:rFonts w:ascii="Arial" w:cs="Arial" w:eastAsia="Arial" w:hAnsi="Arial"/>
          <w:b w:val="false"/>
          <w:bCs w:val="false"/>
          <w:i w:val="false"/>
          <w:iCs w:val="false"/>
          <w:caps w:val="false"/>
          <w:color w:val="2B3646"/>
          <w:sz w:val="20"/>
          <w:szCs w:val="20"/>
        </w:rPr>
        <w:t xml:space="preserve">— tier, count, price, cycle time, and what each is good for in the owner’s words. Cross out what is wrong rather than starting from blank.</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Read the cycle times off the machine panels. </w:t>
      </w:r>
      <w:r>
        <w:rPr>
          <w:rFonts w:ascii="Arial" w:cs="Arial" w:eastAsia="Arial" w:hAnsi="Arial"/>
          <w:b w:val="false"/>
          <w:bCs w:val="false"/>
          <w:i w:val="false"/>
          <w:iCs w:val="false"/>
          <w:caps w:val="false"/>
          <w:color w:val="2B3646"/>
          <w:sz w:val="20"/>
          <w:szCs w:val="20"/>
        </w:rPr>
        <w:t xml:space="preserve">This is the assumed figure most likely to be caught by a customer.</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Confirm the largest machine and what it actually takes. </w:t>
      </w:r>
      <w:r>
        <w:rPr>
          <w:rFonts w:ascii="Arial" w:cs="Arial" w:eastAsia="Arial" w:hAnsi="Arial"/>
          <w:b w:val="false"/>
          <w:bCs w:val="false"/>
          <w:i w:val="false"/>
          <w:iCs w:val="false"/>
          <w:caps w:val="false"/>
          <w:color w:val="2B3646"/>
          <w:sz w:val="20"/>
          <w:szCs w:val="20"/>
        </w:rPr>
        <w:t xml:space="preserve">It is the most reused fact on the site.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Note anything out of service </w:t>
      </w:r>
      <w:r>
        <w:rPr>
          <w:rFonts w:ascii="Arial" w:cs="Arial" w:eastAsia="Arial" w:hAnsi="Arial"/>
          <w:b w:val="false"/>
          <w:bCs w:val="false"/>
          <w:i w:val="false"/>
          <w:iCs w:val="false"/>
          <w:caps w:val="false"/>
          <w:color w:val="2B3646"/>
          <w:sz w:val="20"/>
          <w:szCs w:val="20"/>
        </w:rPr>
        <w:t xml:space="preserve">— it does not go on The Board.</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Answer seven amenity questions: </w:t>
      </w:r>
      <w:r>
        <w:rPr>
          <w:rFonts w:ascii="Arial" w:cs="Arial" w:eastAsia="Arial" w:hAnsi="Arial"/>
          <w:b w:val="false"/>
          <w:bCs w:val="false"/>
          <w:i w:val="false"/>
          <w:iCs w:val="false"/>
          <w:caps w:val="false"/>
          <w:color w:val="2B3646"/>
          <w:sz w:val="20"/>
          <w:szCs w:val="20"/>
        </w:rPr>
        <w:t xml:space="preserve">restroom, seating, folding tables, carts, Wi-Fi, parking, and whether soap is sold.</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While standing at the door: </w:t>
      </w:r>
      <w:r>
        <w:rPr>
          <w:rFonts w:ascii="Arial" w:cs="Arial" w:eastAsia="Arial" w:hAnsi="Arial"/>
          <w:b w:val="false"/>
          <w:bCs w:val="false"/>
          <w:i w:val="false"/>
          <w:iCs w:val="false"/>
          <w:caps w:val="false"/>
          <w:color w:val="2B3646"/>
          <w:sz w:val="20"/>
          <w:szCs w:val="20"/>
        </w:rPr>
        <w:t xml:space="preserve">is there a step, can a wheelchair reach the machines, is the restroom accessible? That is the accessibility statement’s most useful paragraph.</w:t>
      </w:r>
    </w:p>
    <w:p>
      <w:pPr>
        <w:keepNext/>
        <w:spacing w:after="110" w:before="260" w:line="288"/>
      </w:pPr>
      <w:r>
        <w:rPr>
          <w:rFonts w:ascii="Poppins" w:cs="Poppins" w:eastAsia="Poppins" w:hAnsi="Poppins"/>
          <w:b/>
          <w:bCs/>
          <w:color w:val="1B3C6E"/>
          <w:sz w:val="23"/>
          <w:szCs w:val="23"/>
        </w:rPr>
        <w:t xml:space="preserve">3.2 Session B — the operations hour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7750"/>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Duration</w:t>
            </w:r>
          </w:p>
        </w:tc>
        <w:tc>
          <w:tcPr>
            <w:tcW w:type="dxa" w:w="775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About an hour, anywhere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Unblocks</w:t>
            </w:r>
          </w:p>
        </w:tc>
        <w:tc>
          <w:tcPr>
            <w:tcW w:type="dxa" w:w="775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remaining page — this is the largest single unlock</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Output</w:t>
            </w:r>
          </w:p>
        </w:tc>
        <w:tc>
          <w:tcPr>
            <w:tcW w:type="dxa" w:w="775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Around twenty-five answers</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Group</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Questions</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Trading</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 last wash, holiday hours, attended hours</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Identity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Phone number, whether it is text-capable, legal entity name, ownership date, what was serviced</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Language</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Does anyone at the counter speak Spanish? (About §3)</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Exact methods accepted — the EBT / LINK answer (compliance)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Per-pound rate, minimum, turnaround, rush price, separate-machine policy, detergent</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ring, turnaround, rate, pickup fee, scheduling windows, Cents store URL</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Thirteen per-item prices, turnaround, rubber-backed rug position, pet bedding handling</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Per-item prices, hold period, items refused</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Segments served, minimum, billing, quote-form destination, whether P&amp;D is included</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Marketing</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Social profile URLs, whether promotional texts are ever intended</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TWO ITEMS IN SESSION B ARE NOT ROUTINE</w:t>
            </w:r>
          </w:p>
          <w:p>
            <w:pPr>
              <w:spacing w:after="0" w:line="258"/>
            </w:pPr>
            <w:r>
              <w:rPr>
                <w:rFonts w:ascii="Arial" w:cs="Arial" w:eastAsia="Arial" w:hAnsi="Arial"/>
                <w:b/>
                <w:bCs/>
                <w:i w:val="false"/>
                <w:iCs w:val="false"/>
                <w:caps w:val="false"/>
                <w:color w:val="2B3646"/>
                <w:sz w:val="18"/>
                <w:szCs w:val="18"/>
              </w:rPr>
              <w:t xml:space="preserve">The language question and the payment question are different in kind from the rest. </w:t>
            </w:r>
            <w:r>
              <w:rPr>
                <w:rFonts w:ascii="Arial" w:cs="Arial" w:eastAsia="Arial" w:hAnsi="Arial"/>
                <w:b w:val="false"/>
                <w:bCs w:val="false"/>
                <w:i w:val="false"/>
                <w:iCs w:val="false"/>
                <w:caps w:val="false"/>
                <w:color w:val="2B3646"/>
                <w:sz w:val="18"/>
                <w:szCs w:val="18"/>
              </w:rPr>
              <w:t xml:space="preserve">Payment is a compliance statement — an inaccurate EBT claim on a live page is a real problem, and the sister site already has one. The language question determines whether “Se habla español” can stay on the site at all, and it has consequences on six pages. Neither should be answered casually in passing.</w:t>
            </w:r>
          </w:p>
        </w:tc>
      </w:tr>
    </w:tbl>
    <w:p>
      <w:pPr>
        <w:keepNext/>
        <w:spacing w:after="110" w:before="260" w:line="288"/>
      </w:pPr>
      <w:r>
        <w:rPr>
          <w:rFonts w:ascii="Poppins" w:cs="Poppins" w:eastAsia="Poppins" w:hAnsi="Poppins"/>
          <w:b/>
          <w:bCs/>
          <w:color w:val="1B3C6E"/>
          <w:sz w:val="23"/>
          <w:szCs w:val="23"/>
        </w:rPr>
        <w:t xml:space="preserve">3.3 Session C — counsel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7750"/>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Duration</w:t>
            </w:r>
          </w:p>
        </w:tc>
        <w:tc>
          <w:tcPr>
            <w:tcW w:type="dxa" w:w="775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One engagement; the brief is already written</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Unblocks</w:t>
            </w:r>
          </w:p>
        </w:tc>
        <w:tc>
          <w:tcPr>
            <w:tcW w:type="dxa" w:w="775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three legal pages, plus clauses on Ironing and Oversized</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Input</w:t>
            </w:r>
          </w:p>
        </w:tc>
        <w:tc>
          <w:tcPr>
            <w:tcW w:type="dxa" w:w="775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Legal Bundle Developer Guide §7 (eleven questions) and §8 (ten facts)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two questions with consequences beyond the legal pages are garment liability, which the Ironing page needs, and unclaimed property, which needs a holding period the Ironing and FAQ pages both reference. Everything else is contained within the three legal documents.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Start this session first. It has the longest turnaround of the five and it runs in parallel with everything else.</w:t>
      </w:r>
    </w:p>
    <w:p>
      <w:pPr>
        <w:keepNext/>
        <w:spacing w:after="110" w:before="260" w:line="288"/>
      </w:pPr>
      <w:r>
        <w:rPr>
          <w:rFonts w:ascii="Poppins" w:cs="Poppins" w:eastAsia="Poppins" w:hAnsi="Poppins"/>
          <w:b/>
          <w:bCs/>
          <w:color w:val="1B3C6E"/>
          <w:sz w:val="23"/>
          <w:szCs w:val="23"/>
        </w:rPr>
        <w:t xml:space="preserve">3.4 Session D — the photo session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7750"/>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Duration</w:t>
            </w:r>
          </w:p>
        </w:tc>
        <w:tc>
          <w:tcPr>
            <w:tcW w:type="dxa" w:w="775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Two hours, morning, lights on</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Unblocks</w:t>
            </w:r>
          </w:p>
        </w:tc>
        <w:tc>
          <w:tcPr>
            <w:tcW w:type="dxa" w:w="775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hero, og:image, Oversized hero, About, Pickup &amp; Delivery, Self-Service</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Output</w:t>
            </w:r>
          </w:p>
        </w:tc>
        <w:tc>
          <w:tcPr>
            <w:tcW w:type="dxa" w:w="775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photographs</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227"/>
        <w:gridCol w:w="463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Shot</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Most needed by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machine floor, wide, orderly</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hero, og:image, Self-Service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king comforter going into the big washer</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Oversized hero — the strongest single image on the site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Folding table, hands folding a stack</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Storefront exterior, daylight, street visible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Contact, GBP</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delivery bag handed over</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 og:image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Detail — a serviced control panel</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Self-Service, trust strip</w:t>
            </w:r>
          </w:p>
        </w:tc>
      </w:tr>
    </w:tbl>
    <w:p>
      <w:pPr>
        <w:keepNext/>
        <w:spacing w:after="110" w:before="260" w:line="288"/>
      </w:pPr>
      <w:r>
        <w:rPr>
          <w:rFonts w:ascii="Poppins" w:cs="Poppins" w:eastAsia="Poppins" w:hAnsi="Poppins"/>
          <w:b/>
          <w:bCs/>
          <w:color w:val="1B3C6E"/>
          <w:sz w:val="23"/>
          <w:szCs w:val="23"/>
        </w:rPr>
        <w:t xml:space="preserve">3.5 Session E — Google Business Profile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7750"/>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Duration</w:t>
            </w:r>
          </w:p>
        </w:tc>
        <w:tc>
          <w:tcPr>
            <w:tcW w:type="dxa" w:w="775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About an hour once ownership is verified</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Unblocks</w:t>
            </w:r>
          </w:p>
        </w:tc>
        <w:tc>
          <w:tcPr>
            <w:tcW w:type="dxa" w:w="775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Local search visibility — which no amount of website work substitutes for</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Priority</w:t>
            </w:r>
          </w:p>
        </w:tc>
        <w:tc>
          <w:tcPr>
            <w:tcW w:type="dxa" w:w="775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Highest external-impact item in the engagement</w:t>
            </w:r>
          </w:p>
        </w:tc>
      </w:tr>
    </w:tbl>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Find the legacy listing first. </w:t>
      </w:r>
      <w:r>
        <w:rPr>
          <w:rFonts w:ascii="Arial" w:cs="Arial" w:eastAsia="Arial" w:hAnsi="Arial"/>
          <w:b w:val="false"/>
          <w:bCs w:val="false"/>
          <w:i w:val="false"/>
          <w:iCs w:val="false"/>
          <w:caps w:val="false"/>
          <w:color w:val="2B3646"/>
          <w:sz w:val="20"/>
          <w:szCs w:val="20"/>
        </w:rPr>
        <w:t xml:space="preserve">The predecessor almost certainly had one at this address, carrying the old reviews and probably categorised as a dry cleaner.</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Claim it — do not create a new one. </w:t>
      </w:r>
      <w:r>
        <w:rPr>
          <w:rFonts w:ascii="Arial" w:cs="Arial" w:eastAsia="Arial" w:hAnsi="Arial"/>
          <w:b w:val="false"/>
          <w:bCs w:val="false"/>
          <w:i w:val="false"/>
          <w:iCs w:val="false"/>
          <w:caps w:val="false"/>
          <w:color w:val="2B3646"/>
          <w:sz w:val="20"/>
          <w:szCs w:val="20"/>
        </w:rPr>
        <w:t xml:space="preserve">Two pins at one address suppress each other and risk suspension.</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Change the primary category to Laundromat. </w:t>
      </w:r>
      <w:r>
        <w:rPr>
          <w:rFonts w:ascii="Arial" w:cs="Arial" w:eastAsia="Arial" w:hAnsi="Arial"/>
          <w:b w:val="false"/>
          <w:bCs w:val="false"/>
          <w:i w:val="false"/>
          <w:iCs w:val="false"/>
          <w:caps w:val="false"/>
          <w:color w:val="2B3646"/>
          <w:sz w:val="20"/>
          <w:szCs w:val="20"/>
        </w:rPr>
        <w:t xml:space="preserve">Probably the single highest-leverage local-SEO action available.</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Then: name, hours, phone, website, description, photos </w:t>
      </w:r>
      <w:r>
        <w:rPr>
          <w:rFonts w:ascii="Arial" w:cs="Arial" w:eastAsia="Arial" w:hAnsi="Arial"/>
          <w:b w:val="false"/>
          <w:bCs w:val="false"/>
          <w:i w:val="false"/>
          <w:iCs w:val="false"/>
          <w:caps w:val="false"/>
          <w:color w:val="2B3646"/>
          <w:sz w:val="20"/>
          <w:szCs w:val="20"/>
        </w:rPr>
        <w:t xml:space="preserve">— all matching the canonical NAP strings exactly.</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Check for duplicates </w:t>
      </w:r>
      <w:r>
        <w:rPr>
          <w:rFonts w:ascii="Arial" w:cs="Arial" w:eastAsia="Arial" w:hAnsi="Arial"/>
          <w:b w:val="false"/>
          <w:bCs w:val="false"/>
          <w:i w:val="false"/>
          <w:iCs w:val="false"/>
          <w:caps w:val="false"/>
          <w:color w:val="2B3646"/>
          <w:sz w:val="20"/>
          <w:szCs w:val="20"/>
        </w:rPr>
        <w:t xml:space="preserve">and merge any that exist before anything else.</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Respond to old reviews </w:t>
      </w:r>
      <w:r>
        <w:rPr>
          <w:rFonts w:ascii="Arial" w:cs="Arial" w:eastAsia="Arial" w:hAnsi="Arial"/>
          <w:b w:val="false"/>
          <w:bCs w:val="false"/>
          <w:i w:val="false"/>
          <w:iCs w:val="false"/>
          <w:caps w:val="false"/>
          <w:color w:val="2B3646"/>
          <w:sz w:val="20"/>
          <w:szCs w:val="20"/>
        </w:rPr>
        <w:t xml:space="preserve">with a short, factual note of the dated ownership change. Recency is weighted; new reviews will reshape the picture faster than the old ones will fade on their own.</w:t>
      </w:r>
    </w:p>
    <w:p>
      <w:pPr>
        <w:keepNext/>
        <w:pBdr>
          <w:bottom w:val="single" w:color="E8751A" w:sz="14" w:space="8"/>
        </w:pBdr>
        <w:spacing w:after="150" w:before="300" w:line="300"/>
      </w:pPr>
      <w:r>
        <w:rPr>
          <w:rFonts w:ascii="Poppins" w:cs="Poppins" w:eastAsia="Poppins" w:hAnsi="Poppins"/>
          <w:b/>
          <w:bCs/>
          <w:color w:val="1B3C6E"/>
          <w:sz w:val="30"/>
          <w:szCs w:val="30"/>
        </w:rPr>
        <w:t xml:space="preserve">4. Decisions Only the Owner Can Make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These need no research and no session — only a decision.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3825"/>
        <w:gridCol w:w="3321"/>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Decision</w:t>
            </w:r>
          </w:p>
        </w:tc>
        <w:tc>
          <w:tcPr>
            <w:tcW w:type="dxa" w:w="38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Options</w:t>
            </w:r>
          </w:p>
        </w:tc>
        <w:tc>
          <w:tcPr>
            <w:tcW w:type="dxa" w:w="33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Recommendation</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 cleaning scope</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property questions: equipment conveyed? on-site or sent out? which plant?</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Resolve early — it gates a 14th page and affects four existing ones</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Name Spin It Up publicly?</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on About, or keep the brands separate</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borrowed credibility is worth more than separation right now</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Legal language</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only / full Spanish / English operative with Spanish summary</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Option C — Legal Language Guide §4</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 form</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 or a form with a stated response commitment</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 — an unmonitored inbox is worse than no form</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Dedicated privacy email</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Create one, or accept requests by phone</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Create one — a privacy request on a Saturday will not be handled well</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Marketing-arm rates</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Inherit Avondale’s $1.50 / $2.00 / $5, or reprice</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Decide deliberately — different catchment, different positioning</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RATE DECISION IS THE ONE WITH MONEY ATTACHED</w:t>
            </w:r>
          </w:p>
          <w:p>
            <w:pPr>
              <w:spacing w:after="0" w:line="258"/>
            </w:pPr>
            <w:r>
              <w:rPr>
                <w:rFonts w:ascii="Arial" w:cs="Arial" w:eastAsia="Arial" w:hAnsi="Arial"/>
                <w:b/>
                <w:bCs/>
                <w:i w:val="false"/>
                <w:iCs w:val="false"/>
                <w:caps w:val="false"/>
                <w:color w:val="2B3646"/>
                <w:sz w:val="18"/>
                <w:szCs w:val="18"/>
              </w:rPr>
              <w:t xml:space="preserve">Every rate on this site is currently inherited from a store four miles away in a renter-heavier, more price-sensitive neighbourhood. </w:t>
            </w:r>
            <w:r>
              <w:rPr>
                <w:rFonts w:ascii="Arial" w:cs="Arial" w:eastAsia="Arial" w:hAnsi="Arial"/>
                <w:b w:val="false"/>
                <w:bCs w:val="false"/>
                <w:i w:val="false"/>
                <w:iCs w:val="false"/>
                <w:caps w:val="false"/>
                <w:color w:val="2B3646"/>
                <w:sz w:val="18"/>
                <w:szCs w:val="18"/>
              </w:rPr>
              <w:t xml:space="preserve">This catchment is more owner-occupied with a higher median income, and the store is positioned on reliability rather than value. Publishing Avondale’s price list is the safe default and may leave money on the table on every transaction for the life of the site. It is worth an hour of thought before it becomes the price.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The Stop-Ship List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Conditions that must hold at launch. Any one of these failing is a reason not to go live.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5435"/>
        <w:gridCol w:w="3422"/>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543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Condition</w:t>
            </w:r>
          </w:p>
        </w:tc>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Source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54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Static server-rendered HTML — full body and schema without JavaScript</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Content Strategy §8</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543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rating or aggregateRating anywhere until 25 real Google reviews display</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Site-wide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54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methods stated accurately — no unqualified “EBT accepted”</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Compliance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543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unaudited WCAG conformance claim</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Legal §5.1</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54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{{TOKEN}} and no unconfirmed value in the production build</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Provisional convention</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543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dry-cleaning reference anywhere, in either language</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Scope gate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54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fill always carries #07132B ink — never white</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Design Supplement §3.3</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543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question marked up in FAQPage on two URLs within a locale</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§2.2</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54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Offer schema on unconfirmed or per-pound prices</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 §5</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w:t>
            </w:r>
          </w:p>
        </w:tc>
        <w:tc>
          <w:tcPr>
            <w:tcW w:type="dxa" w:w="543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statistic, count, availability figure or savings claim</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Site-wide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54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Clean at 320 / 375 / 900 / 1400 — 320 tested in Spanish</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Design Supplement §13.1</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543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Google Business Profile at the address, categorised Laundromat</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 §3</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Gaps in the Deliverable Set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516"/>
        <w:gridCol w:w="4428"/>
        <w:gridCol w:w="2416"/>
      </w:tblGrid>
      <w:tr>
        <w:trPr>
          <w:cantSplit/>
          <w:tblHeader/>
        </w:trPr>
        <w:tc>
          <w:tcPr>
            <w:tcW w:type="dxa" w:w="25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Gap</w:t>
            </w:r>
          </w:p>
        </w:tc>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Impact</w:t>
            </w:r>
          </w:p>
        </w:tc>
        <w:tc>
          <w:tcPr>
            <w:tcW w:type="dxa" w:w="24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Effort</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Design Guide</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only page without one; its design is fully specified by the Supplement and by Pickup &amp; Delivery precedent</w:t>
            </w:r>
          </w:p>
        </w:tc>
        <w:tc>
          <w:tcPr>
            <w:tcW w:type="dxa" w:w="24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Short — no new components</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Developer Guide v1.1</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Predates six conventions; not wrong, early. Listed in its Spanish guide §1.1</w:t>
            </w:r>
          </w:p>
        </w:tc>
        <w:tc>
          <w:tcPr>
            <w:tcW w:type="dxa" w:w="24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Short — a re-tier and cross-references</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Spanish Guide</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homepage has no Spanish restatement; its content is mostly routing and derives from pages that do</w:t>
            </w:r>
          </w:p>
        </w:tc>
        <w:tc>
          <w:tcPr>
            <w:tcW w:type="dxa" w:w="24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Medium</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Developer Guide v3.1</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Its FAQPage block is superseded by the FAQ ownership rule</w:t>
            </w:r>
          </w:p>
        </w:tc>
        <w:tc>
          <w:tcPr>
            <w:tcW w:type="dxa" w:w="24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Trivial — one section removed</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Wireframes</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None produced — every design guide specifies one</w:t>
            </w:r>
          </w:p>
        </w:tc>
        <w:tc>
          <w:tcPr>
            <w:tcW w:type="dxa" w:w="24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largest remaining production item</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localization pack</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Eleven guides exist; the assembled pack for one-pass review does not</w:t>
            </w:r>
          </w:p>
        </w:tc>
        <w:tc>
          <w:tcPr>
            <w:tcW w:type="dxa" w:w="24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Assembly only</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WIREFRAMES ARE THE REAL REMAINING WORK</w:t>
            </w:r>
          </w:p>
          <w:p>
            <w:pPr>
              <w:spacing w:after="0" w:line="258"/>
            </w:pPr>
            <w:r>
              <w:rPr>
                <w:rFonts w:ascii="Arial" w:cs="Arial" w:eastAsia="Arial" w:hAnsi="Arial"/>
                <w:b/>
                <w:bCs/>
                <w:i w:val="false"/>
                <w:iCs w:val="false"/>
                <w:caps w:val="false"/>
                <w:color w:val="2B3646"/>
                <w:sz w:val="18"/>
                <w:szCs w:val="18"/>
              </w:rPr>
              <w:t xml:space="preserve">Thirteen design guides each specify a paired high-fidelity wireframe at four breakpoints, and none has been built. </w:t>
            </w:r>
            <w:r>
              <w:rPr>
                <w:rFonts w:ascii="Arial" w:cs="Arial" w:eastAsia="Arial" w:hAnsi="Arial"/>
                <w:b w:val="false"/>
                <w:bCs w:val="false"/>
                <w:i w:val="false"/>
                <w:iCs w:val="false"/>
                <w:caps w:val="false"/>
                <w:color w:val="2B3646"/>
                <w:sz w:val="18"/>
                <w:szCs w:val="18"/>
              </w:rPr>
              <w:t xml:space="preserve">That is the largest single item left in the engagement and it is worth sequencing deliberately — the homepage and Self-Service first, since they exercise the most components between them, then the rest in build order.</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Build Sequence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208"/>
        <w:gridCol w:w="5032"/>
        <w:gridCol w:w="3120"/>
      </w:tblGrid>
      <w:tr>
        <w:trPr>
          <w:cantSplit/>
          <w:tblHeader/>
        </w:trPr>
        <w:tc>
          <w:tcPr>
            <w:tcW w:type="dxa" w:w="12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Phase</w:t>
            </w:r>
          </w:p>
        </w:tc>
        <w:tc>
          <w:tcPr>
            <w:tcW w:type="dxa" w:w="50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Work</w:t>
            </w:r>
          </w:p>
        </w:tc>
        <w:tc>
          <w:tcPr>
            <w:tcW w:type="dxa" w:w="312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Gated on</w:t>
            </w:r>
          </w:p>
        </w:tc>
      </w:tr>
      <w:tr>
        <w:trPr>
          <w:cantSplit/>
          <w:tblHeader w:val="false"/>
        </w:trPr>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 — now</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Counsel briefed (Session C); GBP claimed (Session E)</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Nothing</w:t>
            </w:r>
          </w:p>
        </w:tc>
      </w:tr>
      <w:tr>
        <w:trPr>
          <w:cantSplit/>
          <w:tblHeader w:val="false"/>
        </w:trPr>
        <w:tc>
          <w:tcPr>
            <w:tcW w:type="dxa" w:w="12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50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Floor walk and operations hour (Sessions A and B)</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Owner availability</w:t>
            </w:r>
          </w:p>
        </w:tc>
      </w:tr>
      <w:tr>
        <w:trPr>
          <w:cantSplit/>
          <w:tblHeader w:val="false"/>
        </w:trPr>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Photo session (Session D)</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Store presentable</w:t>
            </w:r>
          </w:p>
        </w:tc>
      </w:tr>
      <w:tr>
        <w:trPr>
          <w:cantSplit/>
          <w:tblHeader w:val="false"/>
        </w:trPr>
        <w:tc>
          <w:tcPr>
            <w:tcW w:type="dxa" w:w="12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50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Wireframes — homepage and Self-Service first</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Nothing; assumed data renders</w:t>
            </w:r>
          </w:p>
        </w:tc>
      </w:tr>
      <w:tr>
        <w:trPr>
          <w:cantSplit/>
          <w:tblHeader w:val="false"/>
        </w:trPr>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Remaining wireframes; close the §6 gaps</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Phase 3 review</w:t>
            </w:r>
          </w:p>
        </w:tc>
      </w:tr>
      <w:tr>
        <w:trPr>
          <w:cantSplit/>
          <w:tblHeader w:val="false"/>
        </w:trPr>
        <w:tc>
          <w:tcPr>
            <w:tcW w:type="dxa" w:w="12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50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Build — static HTML, English</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Sessions A and B confirmed</w:t>
            </w:r>
          </w:p>
        </w:tc>
      </w:tr>
      <w:tr>
        <w:trPr>
          <w:cantSplit/>
          <w:tblHeader w:val="false"/>
        </w:trPr>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build from the localization pack</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review complete</w:t>
            </w:r>
          </w:p>
        </w:tc>
      </w:tr>
      <w:tr>
        <w:trPr>
          <w:cantSplit/>
          <w:tblHeader w:val="false"/>
        </w:trPr>
        <w:tc>
          <w:tcPr>
            <w:tcW w:type="dxa" w:w="12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50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Legal pages</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Counsel returned</w:t>
            </w:r>
          </w:p>
        </w:tc>
      </w:tr>
      <w:tr>
        <w:trPr>
          <w:cantSplit/>
          <w:tblHeader w:val="false"/>
        </w:trPr>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QA against the stop-ship list; launch</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of the above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Phases 0 and 1 can start today and are the only things on the critical path. Everything in phases 3 and 4 proceeds on assumed data and does not wait.</w:t>
      </w:r>
    </w:p>
    <w:p>
      <w:pPr>
        <w:keepNext/>
        <w:pBdr>
          <w:bottom w:val="single" w:color="E8751A" w:sz="14" w:space="8"/>
        </w:pBdr>
        <w:spacing w:after="150" w:before="300" w:line="300"/>
      </w:pPr>
      <w:r>
        <w:rPr>
          <w:rFonts w:ascii="Poppins" w:cs="Poppins" w:eastAsia="Poppins" w:hAnsi="Poppins"/>
          <w:b/>
          <w:bCs/>
          <w:color w:val="1B3C6E"/>
          <w:sz w:val="30"/>
          <w:szCs w:val="30"/>
        </w:rPr>
        <w:t xml:space="preserve">8. What Was Assumed, and How to Undo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complete list of what is currently proposed rather than confirmed, so nothing is forgotten at the point it becomes real.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717"/>
        <w:gridCol w:w="3623"/>
        <w:gridCol w:w="3020"/>
      </w:tblGrid>
      <w:tr>
        <w:trPr>
          <w:cantSplit/>
          <w:tblHeader/>
        </w:trPr>
        <w:tc>
          <w:tcPr>
            <w:tcW w:type="dxa" w:w="27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Assumed</w:t>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Basis</w:t>
            </w:r>
          </w:p>
        </w:tc>
        <w:tc>
          <w:tcPr>
            <w:tcW w:type="dxa" w:w="302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Confidence</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floor — 8 rows</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 equipment sizing; sister-store price anchoring</w:t>
            </w:r>
          </w:p>
        </w:tc>
        <w:tc>
          <w:tcPr>
            <w:tcW w:type="dxa" w:w="30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Moderate</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Cycle times</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Category norm</w:t>
            </w:r>
          </w:p>
        </w:tc>
        <w:tc>
          <w:tcPr>
            <w:tcW w:type="dxa" w:w="30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Low — checkable on the panels</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per-item — 13 rows</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cost plus handling; no comparable exists</w:t>
            </w:r>
          </w:p>
        </w:tc>
        <w:tc>
          <w:tcPr>
            <w:tcW w:type="dxa" w:w="30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Lowest in the build</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and delivery rates</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Spin It Up, published July 2026</w:t>
            </w:r>
          </w:p>
        </w:tc>
        <w:tc>
          <w:tcPr>
            <w:tcW w:type="dxa" w:w="30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Good — but see §4</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 6 AM – 11 PM</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Spin It Up</w:t>
            </w:r>
          </w:p>
        </w:tc>
        <w:tc>
          <w:tcPr>
            <w:tcW w:type="dxa" w:w="30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Good — same operator</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 — next day</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Sister store and category norm</w:t>
            </w:r>
          </w:p>
        </w:tc>
        <w:tc>
          <w:tcPr>
            <w:tcW w:type="dxa" w:w="30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Good</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segments</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Sister store plus local read</w:t>
            </w:r>
          </w:p>
        </w:tc>
        <w:tc>
          <w:tcPr>
            <w:tcW w:type="dxa" w:w="30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Good</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Amenities — tables, carts, seating</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Universal in the category</w:t>
            </w:r>
          </w:p>
        </w:tc>
        <w:tc>
          <w:tcPr>
            <w:tcW w:type="dxa" w:w="30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Good</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 restroom</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Sister store</w:t>
            </w:r>
          </w:p>
        </w:tc>
        <w:tc>
          <w:tcPr>
            <w:tcW w:type="dxa" w:w="30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Moderate</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Quote turnaround, billing, minimums</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Category norms</w:t>
            </w:r>
          </w:p>
        </w:tc>
        <w:tc>
          <w:tcPr>
            <w:tcW w:type="dxa" w:w="30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Moderate</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MECHANISM THAT MAKES ALL OF THIS SAFE</w:t>
            </w:r>
          </w:p>
          <w:p>
            <w:pPr>
              <w:spacing w:after="0" w:line="258"/>
            </w:pPr>
            <w:r>
              <w:rPr>
                <w:rFonts w:ascii="Arial" w:cs="Arial" w:eastAsia="Arial" w:hAnsi="Arial"/>
                <w:b/>
                <w:bCs/>
                <w:i w:val="false"/>
                <w:iCs w:val="false"/>
                <w:caps w:val="false"/>
                <w:color w:val="2B3646"/>
                <w:sz w:val="18"/>
                <w:szCs w:val="18"/>
              </w:rPr>
              <w:t xml:space="preserve">Every assumed value is flagged unconfirmed in its data source, and the production build fails while any flag is set. </w:t>
            </w:r>
            <w:r>
              <w:rPr>
                <w:rFonts w:ascii="Arial" w:cs="Arial" w:eastAsia="Arial" w:hAnsi="Arial"/>
                <w:b w:val="false"/>
                <w:bCs w:val="false"/>
                <w:i w:val="false"/>
                <w:iCs w:val="false"/>
                <w:caps w:val="false"/>
                <w:color w:val="2B3646"/>
                <w:sz w:val="18"/>
                <w:szCs w:val="18"/>
              </w:rPr>
              <w:t xml:space="preserve">Assumed data exists so that guides can be written and wireframes can be reviewed at full fidelity — it does not reach a live page. Three categories were never assumed at all and remain hard-blocked: payment methods, Wi-Fi, and anything about the store’s history. If the production gate is ever weakened, this register is the list of what would go live untrue.</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Launch Readiness Register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Launch Readiness Register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Launch Readiness Register v1.0</dc:title>
  <dc:creator>TradeWorks AI</dc:creator>
  <dc:description>Laundry Station — Website Content Strategy &amp; Plan v1.0</dc:description>
  <cp:lastModifiedBy>Un-named</cp:lastModifiedBy>
  <cp:revision>1</cp:revision>
  <dcterms:created xsi:type="dcterms:W3CDTF">2026-07-29T21:47:14.641Z</dcterms:created>
  <dcterms:modified xsi:type="dcterms:W3CDTF">2026-07-29T21:47:14.641Z</dcterms:modified>
</cp:coreProperties>
</file>

<file path=docProps/custom.xml><?xml version="1.0" encoding="utf-8"?>
<Properties xmlns="http://schemas.openxmlformats.org/officeDocument/2006/custom-properties" xmlns:vt="http://schemas.openxmlformats.org/officeDocument/2006/docPropsVTypes"/>
</file>