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Legal Bundle</w:t>
      </w:r>
    </w:p>
    <w:p>
      <w:pPr>
        <w:spacing w:after="40" w:line="340"/>
      </w:pPr>
      <w:r>
        <w:rPr>
          <w:rFonts w:ascii="Poppins" w:cs="Poppins" w:eastAsia="Poppins" w:hAnsi="Poppins"/>
          <w:b/>
          <w:bCs/>
          <w:color w:val="1B3C6E"/>
          <w:sz w:val="50"/>
          <w:szCs w:val="50"/>
        </w:rPr>
        <w:t xml:space="preserve">Developer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Page guides 11–13 — scope, site-specific facts, and the brief for counsel.</w:t>
      </w:r>
    </w:p>
    <w:p>
      <w:pPr>
        <w:spacing w:after="60" w:line="288"/>
      </w:pPr>
      <w:r>
        <w:rPr>
          <w:rFonts w:ascii="Arial" w:cs="Arial" w:eastAsia="Arial" w:hAnsi="Arial"/>
          <w:color w:val="6A7686"/>
          <w:sz w:val="20"/>
          <w:szCs w:val="20"/>
        </w:rPr>
        <w:t xml:space="preserve">/privacy-policy/  ·  /terms/  ·  /accessibility/  ·  Laundry Station, Chicago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Three: privacy policy, terms of service, accessibility statement</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Status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Deliverable to counsel</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brief at §7 plus the facts register at §8</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Legal Bundle Design Guide v1.0 · Legal Bundle Language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Raises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Two gaps not previously identified: unclaimed property (§4.3) and SMS consent (§6)</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What This Document Is — and Is Not</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Three Documents</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Privacy Policy — Scope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3.1 What this site actually collects</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3.2 The Cents handoff</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3.3 Sections the policy must contain</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3.4 Cookie consent — a reasoned position</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4. Terms of Service — Scope</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4.1 What the terms actually govern</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4.2 Garment liability</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4.3 Unclaimed property — a real gap</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4.4 Sections the terms must contain</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5. Accessibility Statement — Scope</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5.1 The conformance-claim trap</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5.2 What to publish instead</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6. Text Messaging — Consent</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7. The Counsel Brief</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8. Facts the Owner Must Supply</w:t>
      </w:r>
      <w:r>
        <w:rPr>
          <w:color w:val="6A7686"/>
          <w:sz w:val="17"/>
          <w:szCs w:val="17"/>
        </w:rPr>
        <w:ptab w:alignment="right" w:relativeTo="margin" w:leader="dot"/>
      </w:r>
      <w:r>
        <w:rPr>
          <w:rFonts w:ascii="Arial" w:cs="Arial" w:eastAsia="Arial" w:hAnsi="Arial"/>
          <w:b/>
          <w:bCs/>
          <w:color w:val="1B3C6E"/>
          <w:sz w:val="17"/>
          <w:szCs w:val="17"/>
        </w:rPr>
        <w:t xml:space="preserve">9</w:t>
      </w:r>
    </w:p>
    <w:p>
      <w:pPr>
        <w:tabs>
          <w:tab w:val="right" w:pos="9360" w:leader="dot"/>
        </w:tabs>
        <w:spacing w:after="40" w:line="258"/>
      </w:pPr>
      <w:r>
        <w:rPr>
          <w:rFonts w:ascii="Poppins" w:cs="Poppins" w:eastAsia="Poppins" w:hAnsi="Poppins"/>
          <w:b/>
          <w:bCs/>
          <w:color w:val="1B3C6E"/>
          <w:sz w:val="19"/>
          <w:szCs w:val="19"/>
        </w:rPr>
        <w:t xml:space="preserve">9. Placement, Linking &amp; Versioning</w:t>
      </w:r>
      <w:r>
        <w:rPr>
          <w:color w:val="6A7686"/>
          <w:sz w:val="17"/>
          <w:szCs w:val="17"/>
        </w:rPr>
        <w:ptab w:alignment="right" w:relativeTo="margin" w:leader="dot"/>
      </w:r>
      <w:r>
        <w:rPr>
          <w:rFonts w:ascii="Arial" w:cs="Arial" w:eastAsia="Arial" w:hAnsi="Arial"/>
          <w:b/>
          <w:bCs/>
          <w:color w:val="1B3C6E"/>
          <w:sz w:val="17"/>
          <w:szCs w:val="17"/>
        </w:rPr>
        <w:t xml:space="preserve">10</w:t>
      </w:r>
    </w:p>
    <w:p>
      <w:pPr>
        <w:tabs>
          <w:tab w:val="right" w:pos="9360" w:leader="dot"/>
        </w:tabs>
        <w:spacing w:after="40" w:line="258"/>
      </w:pPr>
      <w:r>
        <w:rPr>
          <w:rFonts w:ascii="Poppins" w:cs="Poppins" w:eastAsia="Poppins" w:hAnsi="Poppins"/>
          <w:b/>
          <w:bCs/>
          <w:color w:val="1B3C6E"/>
          <w:sz w:val="19"/>
          <w:szCs w:val="19"/>
        </w:rPr>
        <w:t xml:space="preserve">10. Implementation Checklist</w:t>
      </w:r>
      <w:r>
        <w:rPr>
          <w:color w:val="6A7686"/>
          <w:sz w:val="17"/>
          <w:szCs w:val="17"/>
        </w:rPr>
        <w:ptab w:alignment="right" w:relativeTo="margin" w:leader="dot"/>
      </w:r>
      <w:r>
        <w:rPr>
          <w:rFonts w:ascii="Arial" w:cs="Arial" w:eastAsia="Arial" w:hAnsi="Arial"/>
          <w:b/>
          <w:bCs/>
          <w:color w:val="1B3C6E"/>
          <w:sz w:val="17"/>
          <w:szCs w:val="17"/>
        </w:rPr>
        <w:t xml:space="preserve">10</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What This Document Is — and Is Not</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THIS IS NOT LEGAL ADVICE AND CONTAINS NO DRAFTED LEGAL TEXT</w:t>
            </w:r>
          </w:p>
          <w:p>
            <w:pPr>
              <w:spacing w:after="0" w:line="258"/>
            </w:pPr>
            <w:r>
              <w:rPr>
                <w:rFonts w:ascii="Arial" w:cs="Arial" w:eastAsia="Arial" w:hAnsi="Arial"/>
                <w:b/>
                <w:bCs/>
                <w:i w:val="false"/>
                <w:iCs w:val="false"/>
                <w:caps w:val="false"/>
                <w:color w:val="2B3646"/>
                <w:sz w:val="18"/>
                <w:szCs w:val="18"/>
              </w:rPr>
              <w:t xml:space="preserve">TradeWorks AI is not a law firm and does not draft legal documents. </w:t>
            </w:r>
            <w:r>
              <w:rPr>
                <w:rFonts w:ascii="Arial" w:cs="Arial" w:eastAsia="Arial" w:hAnsi="Arial"/>
                <w:b w:val="false"/>
                <w:bCs w:val="false"/>
                <w:i w:val="false"/>
                <w:iCs w:val="false"/>
                <w:caps w:val="false"/>
                <w:color w:val="2B3646"/>
                <w:sz w:val="18"/>
                <w:szCs w:val="18"/>
              </w:rPr>
              <w:t xml:space="preserve">Everything below specifies what these three pages must cover, what facts about this specific business they must reflect, and which decisions require a lawyer. The operative wording is written or reviewed by licensed Illinois counsel before publication. A privacy policy or terms page copied from a template or generated without review is worse than none — it creates written commitments the business has not considered and may not be able to meet.</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630"/>
        <w:gridCol w:w="4730"/>
      </w:tblGrid>
      <w:tr>
        <w:trPr>
          <w:cantSplit/>
          <w:tblHeader/>
        </w:trPr>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document does</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document does not</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Specify what each page must cover</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Provide operative legal wording</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Identify site-specific facts counsel needs</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Interpret Illinois or federal law</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 risks the build has created</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Assess or quantify legal exposure</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Specify placement, linking and versioning</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Replace a lawyer’s review</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value here is that a lawyer briefed with §7 and §8 can work in an hour rather than a day, because the technical facts are already assembled and the open questions are already framed.</w:t>
      </w:r>
    </w:p>
    <w:p>
      <w:pPr>
        <w:keepNext/>
        <w:pBdr>
          <w:bottom w:val="single" w:color="E8751A" w:sz="14" w:space="8"/>
        </w:pBdr>
        <w:spacing w:after="150" w:before="300" w:line="300"/>
      </w:pPr>
      <w:r>
        <w:rPr>
          <w:rFonts w:ascii="Poppins" w:cs="Poppins" w:eastAsia="Poppins" w:hAnsi="Poppins"/>
          <w:b/>
          <w:bCs/>
          <w:color w:val="1B3C6E"/>
          <w:sz w:val="30"/>
          <w:szCs w:val="30"/>
        </w:rPr>
        <w:t xml:space="preserve">2. The Three Documents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3019"/>
        <w:gridCol w:w="4127"/>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Governs</w:t>
            </w:r>
          </w:p>
        </w:tc>
        <w:tc>
          <w:tcPr>
            <w:tcW w:type="dxa" w:w="41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it exists here</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/privacy-policy/</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Data the site and store collect and share</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Analytics, the Cents handoff, the quote form, phone and text</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/terms/</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service relationship</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Garment handling, liability, unclaimed items, payment</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/accessibility/</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site’s accessibility posture</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stated commitment and a route to report a barrier</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These are three short pages, not a corporate legal pack. A neighbourhood laundromat with no online payments, no accounts and no email list has a genuinely small surface — and the documents should reflect that rather than borrowing an enterprise template that describes practices this business does not have.</w:t>
      </w:r>
    </w:p>
    <w:p>
      <w:pPr>
        <w:keepNext/>
        <w:pBdr>
          <w:bottom w:val="single" w:color="E8751A" w:sz="14" w:space="8"/>
        </w:pBdr>
        <w:spacing w:after="150" w:before="300" w:line="300"/>
      </w:pPr>
      <w:r>
        <w:rPr>
          <w:rFonts w:ascii="Poppins" w:cs="Poppins" w:eastAsia="Poppins" w:hAnsi="Poppins"/>
          <w:b/>
          <w:bCs/>
          <w:color w:val="1B3C6E"/>
          <w:sz w:val="30"/>
          <w:szCs w:val="30"/>
        </w:rPr>
        <w:t xml:space="preserve">3. Privacy Policy — Scope</w:t>
      </w:r>
    </w:p>
    <w:p>
      <w:pPr>
        <w:keepNext/>
        <w:spacing w:after="110" w:before="260" w:line="288"/>
      </w:pPr>
      <w:r>
        <w:rPr>
          <w:rFonts w:ascii="Poppins" w:cs="Poppins" w:eastAsia="Poppins" w:hAnsi="Poppins"/>
          <w:b/>
          <w:bCs/>
          <w:color w:val="1B3C6E"/>
          <w:sz w:val="23"/>
          <w:szCs w:val="23"/>
        </w:rPr>
        <w:t xml:space="preserve">3.1 What this site actually collects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 accurate inventory is the entire foundation. Counsel cannot write a truthful policy without it, and most bad policies are bad because nobody assembled this list.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4026"/>
        <w:gridCol w:w="3120"/>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Source</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Data</w:t>
            </w:r>
          </w:p>
        </w:tc>
        <w:tc>
          <w:tcPr>
            <w:tcW w:type="dxa" w:w="312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Where it goes</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GA4 via GTM</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Page views, events, approximate location, device, referrer</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Google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quote form</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Business name, contact name, phone, email, volume, frequency</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{{FORM_DESTINATION}} — owner email and/or Zoho</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tel: and sms: links</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data collected by the site; the call or text goes to the store’s carrier</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Store phone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Cents booking links</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Nothing — the site hands off; Cents collects (§3.2)</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Cents</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Google Maps embed</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IP address and cookies set by Google when the embed loads</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Google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Hosting logs</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IP, user agent, request timestamps</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{{HOST}}</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account system</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The site stores nothing about visitors</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payments on site</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No card data ever touches this site — no PCI scope</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bl>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THE ABSENCE OF PAYMENTS AND ACCOUNTS SIMPLIFIES THIS ENORMOUSLY</w:t>
            </w:r>
          </w:p>
          <w:p>
            <w:pPr>
              <w:spacing w:after="0" w:line="258"/>
            </w:pPr>
            <w:r>
              <w:rPr>
                <w:rFonts w:ascii="Arial" w:cs="Arial" w:eastAsia="Arial" w:hAnsi="Arial"/>
                <w:b/>
                <w:bCs/>
                <w:i w:val="false"/>
                <w:iCs w:val="false"/>
                <w:caps w:val="false"/>
                <w:color w:val="2B3646"/>
                <w:sz w:val="18"/>
                <w:szCs w:val="18"/>
              </w:rPr>
              <w:t xml:space="preserve">Because the site takes no payments, creates no accounts, and stores no customer records, the privacy policy describes a genuinely small operation. </w:t>
            </w:r>
            <w:r>
              <w:rPr>
                <w:rFonts w:ascii="Arial" w:cs="Arial" w:eastAsia="Arial" w:hAnsi="Arial"/>
                <w:b w:val="false"/>
                <w:bCs w:val="false"/>
                <w:i w:val="false"/>
                <w:iCs w:val="false"/>
                <w:caps w:val="false"/>
                <w:color w:val="2B3646"/>
                <w:sz w:val="18"/>
                <w:szCs w:val="18"/>
              </w:rPr>
              <w:t xml:space="preserve">That is worth stating plainly to counsel up front — it changes what needs drafting and it means the site itself carries no PCI obligations. The payment surface lives entirely inside Cents and at the counter.</w:t>
            </w:r>
          </w:p>
        </w:tc>
      </w:tr>
    </w:tbl>
    <w:p>
      <w:pPr>
        <w:keepNext/>
        <w:spacing w:after="110" w:before="260" w:line="288"/>
      </w:pPr>
      <w:r>
        <w:rPr>
          <w:rFonts w:ascii="Poppins" w:cs="Poppins" w:eastAsia="Poppins" w:hAnsi="Poppins"/>
          <w:b/>
          <w:bCs/>
          <w:color w:val="1B3C6E"/>
          <w:sz w:val="23"/>
          <w:szCs w:val="23"/>
        </w:rPr>
        <w:t xml:space="preserve">3.2 The Cents handoff</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Schedule Pickup button sends the visitor to Cents, where they create an account, enter an address and pay. That is a material fact for the privacy policy and it needs describing accurately rather than glossed.</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site does not pass customer data to Cents. </w:t>
      </w:r>
      <w:r>
        <w:rPr>
          <w:rFonts w:ascii="Arial" w:cs="Arial" w:eastAsia="Arial" w:hAnsi="Arial"/>
          <w:b w:val="false"/>
          <w:bCs w:val="false"/>
          <w:i w:val="false"/>
          <w:iCs w:val="false"/>
          <w:caps w:val="false"/>
          <w:color w:val="2B3646"/>
          <w:sz w:val="20"/>
          <w:szCs w:val="20"/>
        </w:rPr>
        <w:t xml:space="preserve">It is a link. The customer arrives at Cents and provides their own information there. Counsel should be told this explicitly, because policies often imply a data-sharing relationship that does not exist.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Cents’ own privacy policy governs what happens after the click, </w:t>
      </w:r>
      <w:r>
        <w:rPr>
          <w:rFonts w:ascii="Arial" w:cs="Arial" w:eastAsia="Arial" w:hAnsi="Arial"/>
          <w:b w:val="false"/>
          <w:bCs w:val="false"/>
          <w:i w:val="false"/>
          <w:iCs w:val="false"/>
          <w:caps w:val="false"/>
          <w:color w:val="2B3646"/>
          <w:sz w:val="20"/>
          <w:szCs w:val="20"/>
        </w:rPr>
        <w:t xml:space="preserve">and the policy should say so and link to it.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store is a Cents customer and sees customer data inside Cents. </w:t>
      </w:r>
      <w:r>
        <w:rPr>
          <w:rFonts w:ascii="Arial" w:cs="Arial" w:eastAsia="Arial" w:hAnsi="Arial"/>
          <w:b w:val="false"/>
          <w:bCs w:val="false"/>
          <w:i w:val="false"/>
          <w:iCs w:val="false"/>
          <w:caps w:val="false"/>
          <w:color w:val="2B3646"/>
          <w:sz w:val="20"/>
          <w:szCs w:val="20"/>
        </w:rPr>
        <w:t xml:space="preserve">That is a real processing relationship for the store even though it is not a website one, and the policy should cover the store’s use of booking data.</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Whether a written agreement with Cents is needed </w:t>
      </w:r>
      <w:r>
        <w:rPr>
          <w:rFonts w:ascii="Arial" w:cs="Arial" w:eastAsia="Arial" w:hAnsi="Arial"/>
          <w:b w:val="false"/>
          <w:bCs w:val="false"/>
          <w:i w:val="false"/>
          <w:iCs w:val="false"/>
          <w:caps w:val="false"/>
          <w:color w:val="2B3646"/>
          <w:sz w:val="20"/>
          <w:szCs w:val="20"/>
        </w:rPr>
        <w:t xml:space="preserve">is a counsel question (§7). The owner should retrieve whatever terms he already accepted.</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External links open in a new tab with rel="noopener" — </w:t>
      </w:r>
      <w:r>
        <w:rPr>
          <w:rFonts w:ascii="Arial" w:cs="Arial" w:eastAsia="Arial" w:hAnsi="Arial"/>
          <w:b w:val="false"/>
          <w:bCs w:val="false"/>
          <w:i w:val="false"/>
          <w:iCs w:val="false"/>
          <w:caps w:val="false"/>
          <w:color w:val="2B3646"/>
          <w:sz w:val="20"/>
          <w:szCs w:val="20"/>
        </w:rPr>
        <w:t xml:space="preserve">a small technical point with a privacy dimension worth keeping.</w:t>
      </w:r>
    </w:p>
    <w:p>
      <w:pPr>
        <w:keepNext/>
        <w:spacing w:after="110" w:before="260" w:line="288"/>
      </w:pPr>
      <w:r>
        <w:rPr>
          <w:rFonts w:ascii="Poppins" w:cs="Poppins" w:eastAsia="Poppins" w:hAnsi="Poppins"/>
          <w:b/>
          <w:bCs/>
          <w:color w:val="1B3C6E"/>
          <w:sz w:val="23"/>
          <w:szCs w:val="23"/>
        </w:rPr>
        <w:t xml:space="preserve">3.3 Sections the policy must contain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6945"/>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Section</w:t>
            </w:r>
          </w:p>
        </w:tc>
        <w:tc>
          <w:tcPr>
            <w:tcW w:type="dxa" w:w="69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Site-specific content</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Who we are</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Business name, address, contact route for privacy questions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we collect</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§3.1 inventory, stated plainly</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Why we collect it</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Analytics to improve the site; the form to respond to a quote request</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Analytics and cookies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GA4 and GTM named; Google Maps named; opt-out route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Third parties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Google, Cents, {{HOST}}, {{FORM_DESTINATION}} — named, with links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long we keep it</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{{RETENTION}} — the owner must decide, especially for form submissions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Your choices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Browser controls, Google opt-out, how to request deletion of a form submission</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Children</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site is not directed to children and collects nothing knowingly</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Changes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updates are published and dated</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working route — phone if no email is published (Contact guide §8.2)</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CONTACT ROUTE IS A REAL PROBLEM</w:t>
            </w:r>
          </w:p>
          <w:p>
            <w:pPr>
              <w:spacing w:after="0" w:line="258"/>
            </w:pPr>
            <w:r>
              <w:rPr>
                <w:rFonts w:ascii="Arial" w:cs="Arial" w:eastAsia="Arial" w:hAnsi="Arial"/>
                <w:b/>
                <w:bCs/>
                <w:i w:val="false"/>
                <w:iCs w:val="false"/>
                <w:caps w:val="false"/>
                <w:color w:val="2B3646"/>
                <w:sz w:val="18"/>
                <w:szCs w:val="18"/>
              </w:rPr>
              <w:t xml:space="preserve">The Contact page deliberately publishes no email address, and a privacy policy needs a route for privacy requests. </w:t>
            </w:r>
            <w:r>
              <w:rPr>
                <w:rFonts w:ascii="Arial" w:cs="Arial" w:eastAsia="Arial" w:hAnsi="Arial"/>
                <w:b w:val="false"/>
                <w:bCs w:val="false"/>
                <w:i w:val="false"/>
                <w:iCs w:val="false"/>
                <w:caps w:val="false"/>
                <w:color w:val="2B3646"/>
                <w:sz w:val="18"/>
                <w:szCs w:val="18"/>
              </w:rPr>
              <w:t xml:space="preserve">Options: publish a dedicated privacy address used nowhere else, accept requests by phone and post, or reverse the no-email decision for this purpose only. Recommendation: a dedicated address, since a privacy request arriving by phone during a Saturday rush will not be handled well. Flag to counsel as §7-Q6.</w:t>
            </w:r>
          </w:p>
        </w:tc>
      </w:tr>
    </w:tbl>
    <w:p>
      <w:pPr>
        <w:keepNext/>
        <w:spacing w:after="110" w:before="260" w:line="288"/>
      </w:pPr>
      <w:r>
        <w:rPr>
          <w:rFonts w:ascii="Poppins" w:cs="Poppins" w:eastAsia="Poppins" w:hAnsi="Poppins"/>
          <w:b/>
          <w:bCs/>
          <w:color w:val="1B3C6E"/>
          <w:sz w:val="23"/>
          <w:szCs w:val="23"/>
        </w:rPr>
        <w:t xml:space="preserve">3.4 Cookie consent — a reasoned position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site sets analytics and Maps cookies. Whether a consent banner is required is a counsel question, but the reasoning should be put to them rather than defaulting either way.</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019"/>
        <w:gridCol w:w="6341"/>
      </w:tblGrid>
      <w:tr>
        <w:trPr>
          <w:cantSplit/>
          <w:tblHeader/>
        </w:trPr>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Consideration</w:t>
            </w:r>
          </w:p>
        </w:tc>
        <w:tc>
          <w:tcPr>
            <w:tcW w:type="dxa" w:w="634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Position to put to counsel</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Illinois has no general cookie-consent statute</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banner is not clearly required by state law</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audience is a two-mile neighbourhood radius</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EU visitors are incidental rather than a served market</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banner harms the experience</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 a site whose job is a fast answer, an interstitial costs real conversions</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Google Consent Mode exists</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If a banner is advised, implement it via GTM rather than a bolt-on script</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Maps embed sets cookies on load</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Lazy-loading it behind a click is a genuine mitigation already in the design</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Maps point is worth emphasising: the design already lazy-loads the embed behind a static fallback for performance reasons, which happens to mean no Google Maps cookie is set unless the visitor interacts. That is a privacy improvement obtained for free, and counsel should know it is the current behaviour.</w:t>
      </w:r>
    </w:p>
    <w:p>
      <w:pPr>
        <w:keepNext/>
        <w:pBdr>
          <w:bottom w:val="single" w:color="E8751A" w:sz="14" w:space="8"/>
        </w:pBdr>
        <w:spacing w:after="150" w:before="300" w:line="300"/>
      </w:pPr>
      <w:r>
        <w:rPr>
          <w:rFonts w:ascii="Poppins" w:cs="Poppins" w:eastAsia="Poppins" w:hAnsi="Poppins"/>
          <w:b/>
          <w:bCs/>
          <w:color w:val="1B3C6E"/>
          <w:sz w:val="30"/>
          <w:szCs w:val="30"/>
        </w:rPr>
        <w:t xml:space="preserve">4. Terms of Service — Scope</w:t>
      </w:r>
    </w:p>
    <w:p>
      <w:pPr>
        <w:keepNext/>
        <w:spacing w:after="110" w:before="260" w:line="288"/>
      </w:pPr>
      <w:r>
        <w:rPr>
          <w:rFonts w:ascii="Poppins" w:cs="Poppins" w:eastAsia="Poppins" w:hAnsi="Poppins"/>
          <w:b/>
          <w:bCs/>
          <w:color w:val="1B3C6E"/>
          <w:sz w:val="23"/>
          <w:szCs w:val="23"/>
        </w:rPr>
        <w:t xml:space="preserve">4.1 What the terms actually govern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not a software terms-of-use page. The site sells nothing and creates no accounts. What needs governing is the physical service relationship at the counter.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630"/>
        <w:gridCol w:w="4730"/>
      </w:tblGrid>
      <w:tr>
        <w:trPr>
          <w:cantSplit/>
          <w:tblHeader/>
        </w:trPr>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Governs</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Does not govern</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Handling of customers’ garments and household items</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Online transactions — there are none</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Liability for loss or damage</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Account terms — there are no accounts</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Unclaimed items left at the store</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 processing — Cents and the counter handle it</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account arrangements</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Intellectual property beyond basic site content</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Website use in general terms</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Subscriptions, renewals, cancellations</w:t>
            </w:r>
          </w:p>
        </w:tc>
      </w:tr>
    </w:tbl>
    <w:p>
      <w:pPr>
        <w:keepNext/>
        <w:spacing w:after="110" w:before="260" w:line="288"/>
      </w:pPr>
      <w:r>
        <w:rPr>
          <w:rFonts w:ascii="Poppins" w:cs="Poppins" w:eastAsia="Poppins" w:hAnsi="Poppins"/>
          <w:b/>
          <w:bCs/>
          <w:color w:val="1B3C6E"/>
          <w:sz w:val="23"/>
          <w:szCs w:val="23"/>
        </w:rPr>
        <w:t xml:space="preserve">4.2 Garment liability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Raised in the Ironing guide §3 and unresolved. It belongs here, and it is the single most consequential thing in the bundle.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422"/>
        <w:gridCol w:w="5938"/>
      </w:tblGrid>
      <w:tr>
        <w:trPr>
          <w:cantSplit/>
          <w:tblHeader/>
        </w:trPr>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593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counsel is needed</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Is there a stated liability limit?</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Common practice ties it to a multiple of the service charge; enforceability in Illinois needs checking</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are damage claims handled?</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stated process prevents each incident being negotiated under pressure</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 dry-clean-only items refused at intake?</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most effective preventive measure; also reinforces the scope boundary</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Who bears responsibility for a missing or wrong label?</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Determines the outcome in the most common dispute</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 high-risk items excluded?</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Silk, leather, structured tailoring, vintage</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Does the limit differ for pressing vs wash and fold?</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Pressing carries per-item heat risk; washing carries bulk loss risk</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AN OVERREACHING LIMITATION CAN FAIL ENTIRELY</w:t>
            </w:r>
          </w:p>
          <w:p>
            <w:pPr>
              <w:spacing w:after="0" w:line="258"/>
            </w:pPr>
            <w:r>
              <w:rPr>
                <w:rFonts w:ascii="Arial" w:cs="Arial" w:eastAsia="Arial" w:hAnsi="Arial"/>
                <w:b/>
                <w:bCs/>
                <w:i w:val="false"/>
                <w:iCs w:val="false"/>
                <w:caps w:val="false"/>
                <w:color w:val="2B3646"/>
                <w:sz w:val="18"/>
                <w:szCs w:val="18"/>
              </w:rPr>
              <w:t xml:space="preserve">Consumer-protection law constrains how far a service business can limit its own liability, and a clause drafted too aggressively can be struck in full rather than read down. </w:t>
            </w:r>
            <w:r>
              <w:rPr>
                <w:rFonts w:ascii="Arial" w:cs="Arial" w:eastAsia="Arial" w:hAnsi="Arial"/>
                <w:b w:val="false"/>
                <w:bCs w:val="false"/>
                <w:i w:val="false"/>
                <w:iCs w:val="false"/>
                <w:caps w:val="false"/>
                <w:color w:val="2B3646"/>
                <w:sz w:val="18"/>
                <w:szCs w:val="18"/>
              </w:rPr>
              <w:t xml:space="preserve">That is the opposite of what the owner wants — a carefully modest limit that holds is worth far more than an ambitious one that does not. This is precisely why the clause is drafted by counsel rather than adapted from another laundromat’s website.</w:t>
            </w:r>
          </w:p>
        </w:tc>
      </w:tr>
    </w:tbl>
    <w:p>
      <w:pPr>
        <w:keepNext/>
        <w:spacing w:after="110" w:before="260" w:line="288"/>
      </w:pPr>
      <w:r>
        <w:rPr>
          <w:rFonts w:ascii="Poppins" w:cs="Poppins" w:eastAsia="Poppins" w:hAnsi="Poppins"/>
          <w:b/>
          <w:bCs/>
          <w:color w:val="1B3C6E"/>
          <w:sz w:val="23"/>
          <w:szCs w:val="23"/>
        </w:rPr>
        <w:t xml:space="preserve">4.3 Unclaimed property — a real gap</w:t>
      </w:r>
    </w:p>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NOTHING IN THIS ENGAGEMENT HAS ADDRESSED ABANDONED ITEMS</w:t>
            </w:r>
          </w:p>
          <w:p>
            <w:pPr>
              <w:spacing w:after="0" w:line="258"/>
            </w:pPr>
            <w:r>
              <w:rPr>
                <w:rFonts w:ascii="Arial" w:cs="Arial" w:eastAsia="Arial" w:hAnsi="Arial"/>
                <w:b/>
                <w:bCs/>
                <w:i w:val="false"/>
                <w:iCs w:val="false"/>
                <w:caps w:val="false"/>
                <w:color w:val="2B3646"/>
                <w:sz w:val="18"/>
                <w:szCs w:val="18"/>
              </w:rPr>
              <w:t xml:space="preserve">Customers will leave items at this store and not come back for them. </w:t>
            </w:r>
            <w:r>
              <w:rPr>
                <w:rFonts w:ascii="Arial" w:cs="Arial" w:eastAsia="Arial" w:hAnsi="Arial"/>
                <w:b w:val="false"/>
                <w:bCs w:val="false"/>
                <w:i w:val="false"/>
                <w:iCs w:val="false"/>
                <w:caps w:val="false"/>
                <w:color w:val="2B3646"/>
                <w:sz w:val="18"/>
                <w:szCs w:val="18"/>
              </w:rPr>
              <w:t xml:space="preserve">Every wash-and-fold and pressing operation accumulates unclaimed bags. There are statutory rules in many jurisdictions governing how long a laundry or cleaner must hold items, what notice must be given, and what may then lawfully be done with them — and Illinois is a jurisdiction where this should be checked specifically rather than assumed. Neither the site, the service pages, nor any counter process currently says anything about it.</w:t>
            </w:r>
          </w:p>
        </w:tc>
      </w:tr>
    </w:tbl>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Counsel question: </w:t>
      </w:r>
      <w:r>
        <w:rPr>
          <w:rFonts w:ascii="Arial" w:cs="Arial" w:eastAsia="Arial" w:hAnsi="Arial"/>
          <w:b w:val="false"/>
          <w:bCs w:val="false"/>
          <w:i w:val="false"/>
          <w:iCs w:val="false"/>
          <w:caps w:val="false"/>
          <w:color w:val="2B3646"/>
          <w:sz w:val="20"/>
          <w:szCs w:val="20"/>
        </w:rPr>
        <w:t xml:space="preserve">what does Illinois law require of a laundry holding unclaimed customer property — minimum holding period, notice, and permitted disposal?</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Owner question: </w:t>
      </w:r>
      <w:r>
        <w:rPr>
          <w:rFonts w:ascii="Arial" w:cs="Arial" w:eastAsia="Arial" w:hAnsi="Arial"/>
          <w:b w:val="false"/>
          <w:bCs w:val="false"/>
          <w:i w:val="false"/>
          <w:iCs w:val="false"/>
          <w:caps w:val="false"/>
          <w:color w:val="2B3646"/>
          <w:sz w:val="20"/>
          <w:szCs w:val="20"/>
        </w:rPr>
        <w:t xml:space="preserve">what does the store want its holding period to be, within whatever the law permits?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Site consequence: </w:t>
      </w:r>
      <w:r>
        <w:rPr>
          <w:rFonts w:ascii="Arial" w:cs="Arial" w:eastAsia="Arial" w:hAnsi="Arial"/>
          <w:b w:val="false"/>
          <w:bCs w:val="false"/>
          <w:i w:val="false"/>
          <w:iCs w:val="false"/>
          <w:caps w:val="false"/>
          <w:color w:val="2B3646"/>
          <w:sz w:val="20"/>
          <w:szCs w:val="20"/>
        </w:rPr>
        <w:t xml:space="preserve">once settled, it becomes a terms clause, an FAQ answer, and a line on the Wash &amp; Fold and Ironing pages. The Ironing care block already has a {{HOLD_PERIOD}} token waiting for it.</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Practical consequence: </w:t>
      </w:r>
      <w:r>
        <w:rPr>
          <w:rFonts w:ascii="Arial" w:cs="Arial" w:eastAsia="Arial" w:hAnsi="Arial"/>
          <w:b w:val="false"/>
          <w:bCs w:val="false"/>
          <w:i w:val="false"/>
          <w:iCs w:val="false"/>
          <w:caps w:val="false"/>
          <w:color w:val="2B3646"/>
          <w:sz w:val="20"/>
          <w:szCs w:val="20"/>
        </w:rPr>
        <w:t xml:space="preserve">a printed line on the intake ticket, which is where it actually does its work.</w:t>
      </w:r>
    </w:p>
    <w:p>
      <w:pPr>
        <w:keepNext/>
        <w:spacing w:after="110" w:before="260" w:line="288"/>
      </w:pPr>
      <w:r>
        <w:rPr>
          <w:rFonts w:ascii="Poppins" w:cs="Poppins" w:eastAsia="Poppins" w:hAnsi="Poppins"/>
          <w:b/>
          <w:bCs/>
          <w:color w:val="1B3C6E"/>
          <w:sz w:val="23"/>
          <w:szCs w:val="23"/>
        </w:rPr>
        <w:t xml:space="preserve">4.4 Sections the terms must contain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6945"/>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Section</w:t>
            </w:r>
          </w:p>
        </w:tc>
        <w:tc>
          <w:tcPr>
            <w:tcW w:type="dxa" w:w="69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Site-specific content</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Who these terms are between</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business entity — {{LEGAL_ENTITY}}, which may differ from the trading name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 covered</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six services; dry cleaning excluded until the gate resolves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 the counter or via Cents; what is accepted (the LINK/SNAP accuracy applies here too)</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Your responsibilities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Checking pockets, declaring delicate items, accurate labels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Our handling</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label check, what is refused, what is separated</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Loss or damage</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§4.2 — counsel-drafted</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Unclaimed items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§4.3 — counsel-drafted</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accounts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That separate written terms may apply to account customers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Website use</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Content ownership, no scraping, accuracy disclaimer for posted prices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Changes and governing law</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Illinois; how changes are published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website-use section should include a short, honest accuracy clause about posted prices — the whole site is built on publishing prices, and a clause noting that prices displayed may change and are confirmed at the counter protects the store without undermining the positioning. Counsel should keep it narrow: this must not become a general disclaimer that everything on the site might be wrong.</w:t>
      </w:r>
    </w:p>
    <w:p>
      <w:pPr>
        <w:keepNext/>
        <w:pBdr>
          <w:bottom w:val="single" w:color="E8751A" w:sz="14" w:space="8"/>
        </w:pBdr>
        <w:spacing w:after="150" w:before="300" w:line="300"/>
      </w:pPr>
      <w:r>
        <w:rPr>
          <w:rFonts w:ascii="Poppins" w:cs="Poppins" w:eastAsia="Poppins" w:hAnsi="Poppins"/>
          <w:b/>
          <w:bCs/>
          <w:color w:val="1B3C6E"/>
          <w:sz w:val="30"/>
          <w:szCs w:val="30"/>
        </w:rPr>
        <w:t xml:space="preserve">5. Accessibility Statement — Scope</w:t>
      </w:r>
    </w:p>
    <w:p>
      <w:pPr>
        <w:keepNext/>
        <w:spacing w:after="110" w:before="260" w:line="288"/>
      </w:pPr>
      <w:r>
        <w:rPr>
          <w:rFonts w:ascii="Poppins" w:cs="Poppins" w:eastAsia="Poppins" w:hAnsi="Poppins"/>
          <w:b/>
          <w:bCs/>
          <w:color w:val="1B3C6E"/>
          <w:sz w:val="23"/>
          <w:szCs w:val="23"/>
        </w:rPr>
        <w:t xml:space="preserve">5.1 The conformance-claim trap</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DO NOT CLAIM WCAG CONFORMANCE THE SITE HAS NOT BEEN AUDITED FOR</w:t>
            </w:r>
          </w:p>
          <w:p>
            <w:pPr>
              <w:spacing w:after="0" w:line="258"/>
            </w:pPr>
            <w:r>
              <w:rPr>
                <w:rFonts w:ascii="Arial" w:cs="Arial" w:eastAsia="Arial" w:hAnsi="Arial"/>
                <w:b/>
                <w:bCs/>
                <w:i w:val="false"/>
                <w:iCs w:val="false"/>
                <w:caps w:val="false"/>
                <w:color w:val="2B3646"/>
                <w:sz w:val="18"/>
                <w:szCs w:val="18"/>
              </w:rPr>
              <w:t xml:space="preserve">A published statement that the site “conforms to WCAG 2.1 Level AA” is a factual claim. </w:t>
            </w:r>
            <w:r>
              <w:rPr>
                <w:rFonts w:ascii="Arial" w:cs="Arial" w:eastAsia="Arial" w:hAnsi="Arial"/>
                <w:b w:val="false"/>
                <w:bCs w:val="false"/>
                <w:i w:val="false"/>
                <w:iCs w:val="false"/>
                <w:caps w:val="false"/>
                <w:color w:val="2B3646"/>
                <w:sz w:val="18"/>
                <w:szCs w:val="18"/>
              </w:rPr>
              <w:t xml:space="preserve">If an untested barrier exists, the business has published an inaccurate accessibility claim — which is materially worse than having published nothing, and is exactly the kind of statement cited in web-accessibility complaints. The design system was built to AA and the per-page checklist tests contrast, focus, targets and reflow, but that is a design standard applied, not an independent audit performed.</w:t>
            </w:r>
          </w:p>
        </w:tc>
      </w:tr>
    </w:tbl>
    <w:p>
      <w:pPr>
        <w:keepNext/>
        <w:spacing w:after="110" w:before="260" w:line="288"/>
      </w:pPr>
      <w:r>
        <w:rPr>
          <w:rFonts w:ascii="Poppins" w:cs="Poppins" w:eastAsia="Poppins" w:hAnsi="Poppins"/>
          <w:b/>
          <w:bCs/>
          <w:color w:val="1B3C6E"/>
          <w:sz w:val="23"/>
          <w:szCs w:val="23"/>
        </w:rPr>
        <w:t xml:space="preserve">5.2 What to publish instead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6945"/>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69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Wording posture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Commitment</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plain statement that the store wants the site usable by everyone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 referenced</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“Built with WCAG 2.1 AA as the target standard” — target, not achieved</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has been done</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Contrast measured, keyboard focus visible, text alternatives, tested at multiple sizes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Known limitations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Honest — e.g. the third-party map embed and Cents are outside the store’s control</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to report a barrier</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Phone and, if adopted, the dedicated address — with a response commitment</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In-store accessibility</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Worth including — step-free access, aisle width, accessible restroom</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Date</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When the statement was last reviewed</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IN-STORE PARAGRAPH IS THE MOST USEFUL PART</w:t>
            </w:r>
          </w:p>
          <w:p>
            <w:pPr>
              <w:spacing w:after="0" w:line="258"/>
            </w:pPr>
            <w:r>
              <w:rPr>
                <w:rFonts w:ascii="Arial" w:cs="Arial" w:eastAsia="Arial" w:hAnsi="Arial"/>
                <w:b/>
                <w:bCs/>
                <w:i w:val="false"/>
                <w:iCs w:val="false"/>
                <w:caps w:val="false"/>
                <w:color w:val="2B3646"/>
                <w:sz w:val="18"/>
                <w:szCs w:val="18"/>
              </w:rPr>
              <w:t xml:space="preserve">Most accessibility statements cover only the website. For a walk-in business with heavy laundry bags, the physical questions are the ones customers actually need answered: is there a step at the door, can a wheelchair reach the machines, is there an accessible restroom, is parking close. </w:t>
            </w:r>
            <w:r>
              <w:rPr>
                <w:rFonts w:ascii="Arial" w:cs="Arial" w:eastAsia="Arial" w:hAnsi="Arial"/>
                <w:b w:val="false"/>
                <w:bCs w:val="false"/>
                <w:i w:val="false"/>
                <w:iCs w:val="false"/>
                <w:caps w:val="false"/>
                <w:color w:val="2B3646"/>
                <w:sz w:val="18"/>
                <w:szCs w:val="18"/>
              </w:rPr>
              <w:t xml:space="preserve">Answering those honestly is genuinely useful, costs nothing, and is far more likely to be read than a conformance claim. It also requires the owner to look at his own doorway, which is worth doing.</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Text Messaging — Consent</w:t>
      </w:r>
    </w:p>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A SECOND GAP THE BUILD HAS CREATED</w:t>
            </w:r>
          </w:p>
          <w:p>
            <w:pPr>
              <w:spacing w:after="0" w:line="258"/>
            </w:pPr>
            <w:r>
              <w:rPr>
                <w:rFonts w:ascii="Arial" w:cs="Arial" w:eastAsia="Arial" w:hAnsi="Arial"/>
                <w:b/>
                <w:bCs/>
                <w:i w:val="false"/>
                <w:iCs w:val="false"/>
                <w:caps w:val="false"/>
                <w:color w:val="2B3646"/>
                <w:sz w:val="18"/>
                <w:szCs w:val="18"/>
              </w:rPr>
              <w:t xml:space="preserve">Several pages specify confirmation texts at pickup and delivery, and the site publishes an sms: link. </w:t>
            </w:r>
            <w:r>
              <w:rPr>
                <w:rFonts w:ascii="Arial" w:cs="Arial" w:eastAsia="Arial" w:hAnsi="Arial"/>
                <w:b w:val="false"/>
                <w:bCs w:val="false"/>
                <w:i w:val="false"/>
                <w:iCs w:val="false"/>
                <w:caps w:val="false"/>
                <w:color w:val="2B3646"/>
                <w:sz w:val="18"/>
                <w:szCs w:val="18"/>
              </w:rPr>
              <w:t xml:space="preserve">Federal rules on text messaging to consumers distinguish sharply between transactional messages a customer has effectively invited and promotional messages requiring express written consent. Nothing in this engagement has specified how consent is captured, what disclosure appears at the point of collection, or how a customer opts out. If the store ever sends anything promotional — a slow-Tuesday offer, a new-service announcement — that is a different category with materially stricter requirements.</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724"/>
        <w:gridCol w:w="5636"/>
      </w:tblGrid>
      <w:tr>
        <w:trPr>
          <w:cantSplit/>
          <w:tblHeader/>
        </w:trPr>
        <w:tc>
          <w:tcPr>
            <w:tcW w:type="dxa" w:w="37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 for counsel</w:t>
            </w:r>
          </w:p>
        </w:tc>
        <w:tc>
          <w:tcPr>
            <w:tcW w:type="dxa" w:w="563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it matters now</w:t>
            </w:r>
          </w:p>
        </w:tc>
      </w:tr>
      <w:tr>
        <w:trPr>
          <w:cantSplit/>
          <w:tblHeader w:val="false"/>
        </w:trPr>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 order-status texts transactional?</w:t>
            </w:r>
          </w:p>
        </w:tc>
        <w:tc>
          <w:tcPr>
            <w:tcW w:type="dxa" w:w="563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Determines whether separate consent is needed at all</w:t>
            </w:r>
          </w:p>
        </w:tc>
      </w:tr>
      <w:tr>
        <w:trPr>
          <w:cantSplit/>
          <w:tblHeader w:val="false"/>
        </w:trPr>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disclosure is required where a number is collected?</w:t>
            </w:r>
          </w:p>
        </w:tc>
        <w:tc>
          <w:tcPr>
            <w:tcW w:type="dxa" w:w="563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Affects the Cents flow and the counter intake ticket</w:t>
            </w:r>
          </w:p>
        </w:tc>
      </w:tr>
      <w:tr>
        <w:trPr>
          <w:cantSplit/>
          <w:tblHeader w:val="false"/>
        </w:trPr>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is required before any promotional text?</w:t>
            </w:r>
          </w:p>
        </w:tc>
        <w:tc>
          <w:tcPr>
            <w:tcW w:type="dxa" w:w="563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Likely express written consent — needs a compliant capture mechanism</w:t>
            </w:r>
          </w:p>
        </w:tc>
      </w:tr>
      <w:tr>
        <w:trPr>
          <w:cantSplit/>
          <w:tblHeader w:val="false"/>
        </w:trPr>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must opt-out work?</w:t>
            </w:r>
          </w:p>
        </w:tc>
        <w:tc>
          <w:tcPr>
            <w:tcW w:type="dxa" w:w="563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STOP handling, and who monitors it</w:t>
            </w:r>
          </w:p>
        </w:tc>
      </w:tr>
      <w:tr>
        <w:trPr>
          <w:cantSplit/>
          <w:tblHeader w:val="false"/>
        </w:trPr>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Does Illinois add anything beyond federal rules?</w:t>
            </w:r>
          </w:p>
        </w:tc>
        <w:tc>
          <w:tcPr>
            <w:tcW w:type="dxa" w:w="563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State-level messaging provisions should be checked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Practical consequence for the build: until this is settled, the site describes confirmation texts as something that happens as part of the service and does not invite marketing sign-up anywhere. No newsletter field, no “text us for deals” prompt, on any page.</w:t>
      </w:r>
    </w:p>
    <w:p>
      <w:pPr>
        <w:keepNext/>
        <w:pBdr>
          <w:bottom w:val="single" w:color="E8751A" w:sz="14" w:space="8"/>
        </w:pBdr>
        <w:spacing w:after="150" w:before="300" w:line="300"/>
      </w:pPr>
      <w:r>
        <w:rPr>
          <w:rFonts w:ascii="Poppins" w:cs="Poppins" w:eastAsia="Poppins" w:hAnsi="Poppins"/>
          <w:b/>
          <w:bCs/>
          <w:color w:val="1B3C6E"/>
          <w:sz w:val="30"/>
          <w:szCs w:val="30"/>
        </w:rPr>
        <w:t xml:space="preserve">7. The Counsel Brief</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questions a lawyer needs to answer, assembled so the engagement is one conversation rather than several.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705"/>
        <w:gridCol w:w="5032"/>
        <w:gridCol w:w="3623"/>
      </w:tblGrid>
      <w:tr>
        <w:trPr>
          <w:cantSplit/>
          <w:tblHeader/>
        </w:trPr>
        <w:tc>
          <w:tcPr>
            <w:tcW w:type="dxa" w:w="70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50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Blocks</w:t>
            </w:r>
          </w:p>
        </w:tc>
      </w:tr>
      <w:tr>
        <w:trPr>
          <w:cantSplit/>
          <w:tblHeader w:val="false"/>
        </w:trPr>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Q1</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liability limit for garment loss or damage is enforceable in Illinois?</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Terms; Ironing and Wash &amp; Fold pages</w:t>
            </w:r>
          </w:p>
        </w:tc>
      </w:tr>
      <w:tr>
        <w:trPr>
          <w:cantSplit/>
          <w:tblHeader w:val="false"/>
        </w:trPr>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Q2</w:t>
            </w:r>
          </w:p>
        </w:tc>
        <w:tc>
          <w:tcPr>
            <w:tcW w:type="dxa" w:w="50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does Illinois require for unclaimed customer property held by a laundry?</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Terms; FAQ; {{HOLD_PERIOD}} token</w:t>
            </w:r>
          </w:p>
        </w:tc>
      </w:tr>
      <w:tr>
        <w:trPr>
          <w:cantSplit/>
          <w:tblHeader w:val="false"/>
        </w:trPr>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Q3</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 order-status texts transactional, and what disclosure is required?</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page mentioning confirmation texts</w:t>
            </w:r>
          </w:p>
        </w:tc>
      </w:tr>
      <w:tr>
        <w:trPr>
          <w:cantSplit/>
          <w:tblHeader w:val="false"/>
        </w:trPr>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Q4</w:t>
            </w:r>
          </w:p>
        </w:tc>
        <w:tc>
          <w:tcPr>
            <w:tcW w:type="dxa" w:w="50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is required before any promotional text or email?</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Future marketing; no current surface</w:t>
            </w:r>
          </w:p>
        </w:tc>
      </w:tr>
      <w:tr>
        <w:trPr>
          <w:cantSplit/>
          <w:tblHeader w:val="false"/>
        </w:trPr>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Q5</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Is a cookie-consent mechanism advisable for this audience?</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page — GTM implementation</w:t>
            </w:r>
          </w:p>
        </w:tc>
      </w:tr>
      <w:tr>
        <w:trPr>
          <w:cantSplit/>
          <w:tblHeader w:val="false"/>
        </w:trPr>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Q6</w:t>
            </w:r>
          </w:p>
        </w:tc>
        <w:tc>
          <w:tcPr>
            <w:tcW w:type="dxa" w:w="50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contact route satisfies privacy-request obligations?</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Privacy policy; Contact page email decision</w:t>
            </w:r>
          </w:p>
        </w:tc>
      </w:tr>
      <w:tr>
        <w:trPr>
          <w:cantSplit/>
          <w:tblHeader w:val="false"/>
        </w:trPr>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Q7</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Is a written agreement with Cents needed for the store’s use of booking data?</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Privacy policy §3.2</w:t>
            </w:r>
          </w:p>
        </w:tc>
      </w:tr>
      <w:tr>
        <w:trPr>
          <w:cantSplit/>
          <w:tblHeader w:val="false"/>
        </w:trPr>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Q8</w:t>
            </w:r>
          </w:p>
        </w:tc>
        <w:tc>
          <w:tcPr>
            <w:tcW w:type="dxa" w:w="50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accessibility posture is advisable — commitment or conformance claim?</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Accessibility statement</w:t>
            </w:r>
          </w:p>
        </w:tc>
      </w:tr>
      <w:tr>
        <w:trPr>
          <w:cantSplit/>
          <w:tblHeader w:val="false"/>
        </w:trPr>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Q9</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Which legal entity contracts with customers, and is the trading name registered?</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three documents</w:t>
            </w:r>
          </w:p>
        </w:tc>
      </w:tr>
      <w:tr>
        <w:trPr>
          <w:cantSplit/>
          <w:tblHeader w:val="false"/>
        </w:trPr>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Q10</w:t>
            </w:r>
          </w:p>
        </w:tc>
        <w:tc>
          <w:tcPr>
            <w:tcW w:type="dxa" w:w="50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commercial accounts need separate written terms?</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Terms; Commercial page</w:t>
            </w:r>
          </w:p>
        </w:tc>
      </w:tr>
      <w:tr>
        <w:trPr>
          <w:cantSplit/>
          <w:tblHeader w:val="false"/>
        </w:trPr>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Q11</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Must any of the three documents be provided in Spanish?</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language guide — see that document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8. Facts the Owner Must Supply</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Fact</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Needed for</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{{LEGAL_ENTITY}} — the contracting entity and its registration</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three documents</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{{FORM_DESTINATION}} — where quote submissions land</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Privacy policy</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{{RETENTION}} — how long form submissions are kept</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Privacy policy</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{{HOST}} — the hosting provider</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Privacy policy</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Whether a dedicated privacy email will exist</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Privacy policy; Contact page</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{{HOLD_PERIOD}} — desired holding period for unclaimed items</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Terms; Ironing; FAQ</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Which items are refused at intake</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Terms; Ironing; Oversized</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Whether promotional texts are ever intended</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Counsel Q4</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Physical accessibility of the premises</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Accessibility statement §5.2</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Cents terms already accepted</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Counsel Q7</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9. Placement, Linking &amp; Versioning</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Footer on every page, </w:t>
      </w:r>
      <w:r>
        <w:rPr>
          <w:rFonts w:ascii="Arial" w:cs="Arial" w:eastAsia="Arial" w:hAnsi="Arial"/>
          <w:b w:val="false"/>
          <w:bCs w:val="false"/>
          <w:i w:val="false"/>
          <w:iCs w:val="false"/>
          <w:caps w:val="false"/>
          <w:color w:val="2B3646"/>
          <w:sz w:val="20"/>
          <w:szCs w:val="20"/>
        </w:rPr>
        <w:t xml:space="preserve">in the final divided row at the Micro step. Not in the main nav.</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The commercial quote form links to the privacy policy </w:t>
      </w:r>
      <w:r>
        <w:rPr>
          <w:rFonts w:ascii="Arial" w:cs="Arial" w:eastAsia="Arial" w:hAnsi="Arial"/>
          <w:b w:val="false"/>
          <w:bCs w:val="false"/>
          <w:i w:val="false"/>
          <w:iCs w:val="false"/>
          <w:caps w:val="false"/>
          <w:color w:val="2B3646"/>
          <w:sz w:val="20"/>
          <w:szCs w:val="20"/>
        </w:rPr>
        <w:t xml:space="preserve">adjacent to the submit button — the only place on the site where personal data is collected.</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Every document carries a visible “Last updated” date </w:t>
      </w:r>
      <w:r>
        <w:rPr>
          <w:rFonts w:ascii="Arial" w:cs="Arial" w:eastAsia="Arial" w:hAnsi="Arial"/>
          <w:b w:val="false"/>
          <w:bCs w:val="false"/>
          <w:i w:val="false"/>
          <w:iCs w:val="false"/>
          <w:caps w:val="false"/>
          <w:color w:val="2B3646"/>
          <w:sz w:val="20"/>
          <w:szCs w:val="20"/>
        </w:rPr>
        <w:t xml:space="preserve">at the top, and the date changes only when the text changes.</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Versions are archived. </w:t>
      </w:r>
      <w:r>
        <w:rPr>
          <w:rFonts w:ascii="Arial" w:cs="Arial" w:eastAsia="Arial" w:hAnsi="Arial"/>
          <w:b w:val="false"/>
          <w:bCs w:val="false"/>
          <w:i w:val="false"/>
          <w:iCs w:val="false"/>
          <w:caps w:val="false"/>
          <w:color w:val="2B3646"/>
          <w:sz w:val="20"/>
          <w:szCs w:val="20"/>
        </w:rPr>
        <w:t xml:space="preserve">When terms change, the previous version is kept, dated, and retrievable — a terms page that silently rewrites itself cannot be relied on by either party.</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No noindex. </w:t>
      </w:r>
      <w:r>
        <w:rPr>
          <w:rFonts w:ascii="Arial" w:cs="Arial" w:eastAsia="Arial" w:hAnsi="Arial"/>
          <w:b w:val="false"/>
          <w:bCs w:val="false"/>
          <w:i w:val="false"/>
          <w:iCs w:val="false"/>
          <w:caps w:val="false"/>
          <w:color w:val="2B3646"/>
          <w:sz w:val="20"/>
          <w:szCs w:val="20"/>
        </w:rPr>
        <w:t xml:space="preserve">These pages should be indexable; they are a trust signal and are sometimes checked deliberately.</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Excluded from the sitemap priority </w:t>
      </w:r>
      <w:r>
        <w:rPr>
          <w:rFonts w:ascii="Arial" w:cs="Arial" w:eastAsia="Arial" w:hAnsi="Arial"/>
          <w:b w:val="false"/>
          <w:bCs w:val="false"/>
          <w:i w:val="false"/>
          <w:iCs w:val="false"/>
          <w:caps w:val="false"/>
          <w:color w:val="2B3646"/>
          <w:sz w:val="20"/>
          <w:szCs w:val="20"/>
        </w:rPr>
        <w:t xml:space="preserve">but present in it.</w:t>
      </w:r>
    </w:p>
    <w:p>
      <w:pPr>
        <w:keepNext/>
        <w:pBdr>
          <w:bottom w:val="single" w:color="E8751A" w:sz="14" w:space="8"/>
        </w:pBdr>
        <w:spacing w:after="150" w:before="300" w:line="300"/>
      </w:pPr>
      <w:r>
        <w:rPr>
          <w:rFonts w:ascii="Poppins" w:cs="Poppins" w:eastAsia="Poppins" w:hAnsi="Poppins"/>
          <w:b/>
          <w:bCs/>
          <w:color w:val="1B3C6E"/>
          <w:sz w:val="30"/>
          <w:szCs w:val="30"/>
        </w:rPr>
        <w:t xml:space="preserve">10. Implementation Checklist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604"/>
        <w:gridCol w:w="8756"/>
      </w:tblGrid>
      <w:tr>
        <w:trPr>
          <w:cantSplit/>
          <w:tblHeader/>
        </w:trPr>
        <w:tc>
          <w:tcPr>
            <w:tcW w:type="dxa" w:w="60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875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document published without licensed Illinois counsel review</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template or generated text used unreviewed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Privacy policy reflects the §3.1 inventory exactly — nothing described that does not happen</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Cents handoff described accurately — the site passes no data</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claim of PCI compliance or payment handling — the site does neither</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Terms cover garment liability and unclaimed property (Q1, Q2)</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Accessibility statement makes no unaudited conformance claim</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Accessibility statement covers the physical premises</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marketing sign-up surface anywhere until Q4 is answered</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 descriptions honour the LINK / SNAP accuracy rule</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 cleaning not referenced in any of the three documents</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Each page carries a visible last-updated date; prior versions archived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 links present on every page including /es/</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Language decision applied per the Language Guide</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Legal Bundle Developer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Legal Bundle Developer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Legal Bundle Developer Guide v1.0</dc:title>
  <dc:creator>TradeWorks AI</dc:creator>
  <dc:description>Laundry Station — Website Content Strategy &amp; Plan v1.0</dc:description>
  <cp:lastModifiedBy>Un-named</cp:lastModifiedBy>
  <cp:revision>1</cp:revision>
  <dcterms:created xsi:type="dcterms:W3CDTF">2026-07-29T21:23:02.074Z</dcterms:created>
  <dcterms:modified xsi:type="dcterms:W3CDTF">2026-07-29T21:23:02.074Z</dcterms:modified>
</cp:coreProperties>
</file>

<file path=docProps/custom.xml><?xml version="1.0" encoding="utf-8"?>
<Properties xmlns="http://schemas.openxmlformats.org/officeDocument/2006/custom-properties" xmlns:vt="http://schemas.openxmlformats.org/officeDocument/2006/docPropsVTypes"/>
</file>