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Pricing — The Board</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05 of 13 — the signature page, and the intake instrument that unblocks it.</w:t>
      </w:r>
    </w:p>
    <w:p>
      <w:pPr>
        <w:spacing w:after="60" w:line="288"/>
      </w:pPr>
      <w:r>
        <w:rPr>
          <w:rFonts w:ascii="Arial" w:cs="Arial" w:eastAsia="Arial" w:hAnsi="Arial"/>
          <w:color w:val="6A7686"/>
          <w:sz w:val="20"/>
          <w:szCs w:val="20"/>
        </w:rPr>
        <w:t xml:space="preserve">/pricing/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/pricing/ — hosts The Board, the site’s one signature element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Status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Structure buildable now; the machine floor is BLOCKED pending the intake sheet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Pricing Design Guide v1.0 · Pricing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Unblocks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Every service page that links to a rate — Self-Service, Oversized, Wash &amp; Fold, Pickup &amp; Delivery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Inherits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§5.9 and §6 · Design Supplement v1.0 · provisional convention (Commercial §2)</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Board Data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Why the machine floor cannot be provisional</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one thing that can be: tier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Board Data Collection Sheet</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Value Register</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Block-by-Block Content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8.2 Block 2 — The Board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8.3 Block 3 — Wash &amp; Fold rates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8.4 Block 4 — Pickup &amp; Delivery rates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8.5 Block 5 — Oversized &amp; household</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8.6 Block 6 — Ironing &amp; pressing</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8.7 Block 7 — How to pay</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8.8 Block 8 — Conversion &amp; routing</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Analytics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the whole positioning rests on. </w:t>
      </w:r>
      <w:r>
        <w:rPr>
          <w:rFonts w:ascii="Arial" w:cs="Arial" w:eastAsia="Arial" w:hAnsi="Arial"/>
          <w:b w:val="false"/>
          <w:bCs w:val="false"/>
          <w:i w:val="false"/>
          <w:iCs w:val="false"/>
          <w:caps w:val="false"/>
          <w:color w:val="2B3646"/>
          <w:sz w:val="20"/>
          <w:szCs w:val="20"/>
        </w:rPr>
        <w:t xml:space="preserve">“Fixed. Posted. Done for you” — this is the </w:t>
      </w:r>
      <w:r>
        <w:rPr>
          <w:rFonts w:ascii="Arial" w:cs="Arial" w:eastAsia="Arial" w:hAnsi="Arial"/>
          <w:b w:val="false"/>
          <w:bCs w:val="false"/>
          <w:i/>
          <w:iCs/>
          <w:caps w:val="false"/>
          <w:color w:val="2B3646"/>
          <w:sz w:val="20"/>
          <w:szCs w:val="20"/>
        </w:rPr>
        <w:t xml:space="preserve">posted</w:t>
      </w:r>
      <w:r>
        <w:rPr>
          <w:rFonts w:ascii="Arial" w:cs="Arial" w:eastAsia="Arial" w:hAnsi="Arial"/>
          <w:b w:val="false"/>
          <w:bCs w:val="false"/>
          <w:i w:val="false"/>
          <w:iCs w:val="false"/>
          <w:caps w:val="false"/>
          <w:color w:val="2B3646"/>
          <w:sz w:val="20"/>
          <w:szCs w:val="20"/>
        </w:rPr>
        <w:t xml:space="preserve">. Every other page makes a claim about reliability; this one proves the second half of it by publishing every price the store charges, before anyone walks in. The Board is the site’s single signature element and it lives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/es/precios/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plain, no photo, no buttons in the hero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Signature element</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the machine floor as a real HTML table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Role</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hub, not a dead end — every rate links back to the service it belongs to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Referenced by</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preview · Self-Service · Oversized · Wash &amp; Fold · Pickup &amp; Delivery</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A PRICING PAGE IS THE SIGNATURE ELEMENT</w:t>
            </w:r>
          </w:p>
          <w:p>
            <w:pPr>
              <w:spacing w:after="0" w:line="258"/>
            </w:pPr>
            <w:r>
              <w:rPr>
                <w:rFonts w:ascii="Arial" w:cs="Arial" w:eastAsia="Arial" w:hAnsi="Arial"/>
                <w:b/>
                <w:bCs/>
                <w:i w:val="false"/>
                <w:iCs w:val="false"/>
                <w:caps w:val="false"/>
                <w:color w:val="2B3646"/>
                <w:sz w:val="18"/>
                <w:szCs w:val="18"/>
              </w:rPr>
              <w:t xml:space="preserve">Most laundromats do not publish prices, and the ones that do publish a partial list. </w:t>
            </w:r>
            <w:r>
              <w:rPr>
                <w:rFonts w:ascii="Arial" w:cs="Arial" w:eastAsia="Arial" w:hAnsi="Arial"/>
                <w:b w:val="false"/>
                <w:bCs w:val="false"/>
                <w:i w:val="false"/>
                <w:iCs w:val="false"/>
                <w:caps w:val="false"/>
                <w:color w:val="2B3646"/>
                <w:sz w:val="18"/>
                <w:szCs w:val="18"/>
              </w:rPr>
              <w:t xml:space="preserve">Publishing the full machine floor — every tier, what it holds, what it costs, what it is good for — is unusual enough to be memorable and useful enough to be shared. It also does something no amount of copy can: it demonstrates the equipment exists and is inventoried, which is the exact anxiety this address carries.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Board Data Problem</w:t>
      </w:r>
    </w:p>
    <w:p>
      <w:pPr>
        <w:keepNext/>
        <w:spacing w:after="110" w:before="260" w:line="288"/>
      </w:pPr>
      <w:r>
        <w:rPr>
          <w:rFonts w:ascii="Poppins" w:cs="Poppins" w:eastAsia="Poppins" w:hAnsi="Poppins"/>
          <w:b/>
          <w:bCs/>
          <w:color w:val="1B3C6E"/>
          <w:sz w:val="23"/>
          <w:szCs w:val="23"/>
        </w:rPr>
        <w:t xml:space="preserve">2.1 Why the machine floor cannot be provisional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provisional convention introduced on the Commercial page lets a sourced default stand in for an unconfirmed value so the build can proceed. It has one carve-out, stated when the convention was written, and this page is where that carve-out applies.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MACHINE FLOOR STAYS BLOCKED — NO EXCEPTIONS</w:t>
            </w:r>
          </w:p>
          <w:p>
            <w:pPr>
              <w:spacing w:after="0" w:line="258"/>
            </w:pPr>
            <w:r>
              <w:rPr>
                <w:rFonts w:ascii="Arial" w:cs="Arial" w:eastAsia="Arial" w:hAnsi="Arial"/>
                <w:b/>
                <w:bCs/>
                <w:i w:val="false"/>
                <w:iCs w:val="false"/>
                <w:caps w:val="false"/>
                <w:color w:val="2B3646"/>
                <w:sz w:val="18"/>
                <w:szCs w:val="18"/>
              </w:rPr>
              <w:t xml:space="preserve">A provisional price band is a judgement that can be quietly corrected. A provisional machine floor is a factual claim about a specific room. </w:t>
            </w:r>
            <w:r>
              <w:rPr>
                <w:rFonts w:ascii="Arial" w:cs="Arial" w:eastAsia="Arial" w:hAnsi="Arial"/>
                <w:b w:val="false"/>
                <w:bCs w:val="false"/>
                <w:i w:val="false"/>
                <w:iCs w:val="false"/>
                <w:caps w:val="false"/>
                <w:color w:val="2B3646"/>
                <w:sz w:val="18"/>
                <w:szCs w:val="18"/>
              </w:rPr>
              <w:t xml:space="preserve">The sister store’s 41 washers, 52 dryers and 130 lb machine describe a different building. 6043 W Addison was a dry cleaner; nobody has inventoried its floor. Publishing an assumed Board means every customer who walks through the door can see the site is wrong — which is precisely the trust failure the entire build exists to repair. It is also the one page where being caught out costs the most, because The Board’s only argument is that it is real.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not a reason to stall. The floor is a twenty-minute job for someone standing in the room with a phone, and §3 turns it into a form. Everything else on the page — structure, secondary rates, payment, schema, layout — proceeds now.</w:t>
      </w:r>
    </w:p>
    <w:p>
      <w:pPr>
        <w:keepNext/>
        <w:spacing w:after="110" w:before="260" w:line="288"/>
      </w:pPr>
      <w:r>
        <w:rPr>
          <w:rFonts w:ascii="Poppins" w:cs="Poppins" w:eastAsia="Poppins" w:hAnsi="Poppins"/>
          <w:b/>
          <w:bCs/>
          <w:color w:val="1B3C6E"/>
          <w:sz w:val="23"/>
          <w:szCs w:val="23"/>
        </w:rPr>
        <w:t xml:space="preserve">2.2 The one thing that can be: tier structure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a defensible split here. Commercial laundry equipment ships in standard capacities, so the </w:t>
      </w:r>
    </w:p>
    <w:p>
      <w:pPr>
        <w:keepNext w:val="false"/>
        <w:spacing w:after="120" w:before="0" w:line="264"/>
      </w:pPr>
      <w:r>
        <w:rPr>
          <w:rFonts w:ascii="Arial" w:cs="Arial" w:eastAsia="Arial" w:hAnsi="Arial"/>
          <w:b w:val="false"/>
          <w:bCs w:val="false"/>
          <w:i/>
          <w:iCs/>
          <w:caps w:val="false"/>
          <w:color w:val="2B3646"/>
          <w:sz w:val="20"/>
          <w:szCs w:val="20"/>
        </w:rPr>
        <w:t xml:space="preserve">shape</w:t>
      </w:r>
      <w:r>
        <w:rPr>
          <w:rFonts w:ascii="Arial" w:cs="Arial" w:eastAsia="Arial" w:hAnsi="Arial"/>
          <w:b w:val="false"/>
          <w:bCs w:val="false"/>
          <w:i w:val="false"/>
          <w:iCs w:val="false"/>
          <w:caps w:val="false"/>
          <w:color w:val="2B3646"/>
          <w:sz w:val="20"/>
          <w:szCs w:val="20"/>
        </w:rPr>
        <w:t xml:space="preserve"> of the table is a category norm and can be provisional; the </w:t>
      </w:r>
      <w:r>
        <w:rPr>
          <w:rFonts w:ascii="Arial" w:cs="Arial" w:eastAsia="Arial" w:hAnsi="Arial"/>
          <w:b w:val="false"/>
          <w:bCs w:val="false"/>
          <w:i/>
          <w:iCs/>
          <w:caps w:val="false"/>
          <w:color w:val="2B3646"/>
          <w:sz w:val="20"/>
          <w:szCs w:val="20"/>
        </w:rPr>
        <w:t xml:space="preserve">contents</w:t>
      </w:r>
      <w:r>
        <w:rPr>
          <w:rFonts w:ascii="Arial" w:cs="Arial" w:eastAsia="Arial" w:hAnsi="Arial"/>
          <w:b w:val="false"/>
          <w:bCs w:val="false"/>
          <w:i w:val="false"/>
          <w:iCs w:val="false"/>
          <w:caps w:val="false"/>
          <w:color w:val="2B3646"/>
          <w:sz w:val="20"/>
          <w:szCs w:val="20"/>
        </w:rPr>
        <w:t xml:space="preserve"> are store-specific and stay blocked. That is enough to render a wireframe at full fidelity and judge the layout honestly.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2114"/>
        <w:gridCol w:w="3824"/>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8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Basis</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 tiers exist at roughly 20 / 30 / 40 / 60 / 80 lb</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commercial equipment sizing</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 tiers exist at roughly 30 / 45 / 75 lb</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commercial equipment sizing</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Number of tiers on this floor</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Store-specific</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Count of each machine</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Store-specific</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per machine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Store-specific</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 machine capacity</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Store-specific — and a claim customers verify</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Wash-cycle minutes</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Spec sheets only; column omitted unless verified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WHAT THE WIREFRAME SHOWS</w:t>
            </w:r>
          </w:p>
          <w:p>
            <w:pPr>
              <w:spacing w:after="0" w:line="258"/>
            </w:pPr>
            <w:r>
              <w:rPr>
                <w:rFonts w:ascii="Arial" w:cs="Arial" w:eastAsia="Arial" w:hAnsi="Arial"/>
                <w:b w:val="false"/>
                <w:bCs w:val="false"/>
                <w:i w:val="false"/>
                <w:iCs w:val="false"/>
                <w:caps w:val="false"/>
                <w:color w:val="2B3646"/>
                <w:sz w:val="18"/>
                <w:szCs w:val="18"/>
              </w:rPr>
              <w:t xml:space="preserve">Five washer rows and three dryer rows, tier labels rendered as provisional (dashed underline), every count and price rendered as a dashed amber SWAP token. The layout can be reviewed and signed off; the data cannot ship until §3 comes back filled in.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Board Data Collection Sheet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highest-value artifact in this document. It converts an open question into a form that can be filled in during one walk of the floor. Print it, or read it off a phone, and count.</w:t>
      </w:r>
    </w:p>
    <w:p>
      <w:pPr>
        <w:keepNext/>
        <w:spacing w:after="90" w:before="200" w:line="276"/>
      </w:pPr>
      <w:r>
        <w:rPr>
          <w:rFonts w:ascii="Poppins" w:cs="Poppins" w:eastAsia="Poppins" w:hAnsi="Poppins"/>
          <w:b/>
          <w:bCs/>
          <w:color w:val="2E86AB"/>
          <w:sz w:val="20"/>
          <w:szCs w:val="20"/>
        </w:rPr>
        <w:t xml:space="preserve">Washers — one row per size on the floor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1409"/>
        <w:gridCol w:w="1812"/>
        <w:gridCol w:w="4730"/>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Size (lb)</w:t>
            </w:r>
          </w:p>
        </w:tc>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many</w:t>
            </w:r>
          </w:p>
        </w:tc>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 per wash</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you’d tell a customer it’s good for</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bl>
    <w:p>
      <w:pPr>
        <w:keepNext/>
        <w:spacing w:after="90" w:before="200" w:line="276"/>
      </w:pPr>
      <w:r>
        <w:rPr>
          <w:rFonts w:ascii="Poppins" w:cs="Poppins" w:eastAsia="Poppins" w:hAnsi="Poppins"/>
          <w:b/>
          <w:bCs/>
          <w:color w:val="2E86AB"/>
          <w:sz w:val="20"/>
          <w:szCs w:val="20"/>
        </w:rPr>
        <w:t xml:space="preserve">Dryers — one row per size on the floor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1409"/>
        <w:gridCol w:w="1812"/>
        <w:gridCol w:w="4730"/>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Size (lb)</w:t>
            </w:r>
          </w:p>
        </w:tc>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many</w:t>
            </w:r>
          </w:p>
        </w:tc>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Per cycle or per minutes?</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r>
    </w:tbl>
    <w:p>
      <w:pPr>
        <w:keepNext/>
        <w:spacing w:after="90" w:before="200" w:line="276"/>
      </w:pPr>
      <w:r>
        <w:rPr>
          <w:rFonts w:ascii="Poppins" w:cs="Poppins" w:eastAsia="Poppins" w:hAnsi="Poppins"/>
          <w:b/>
          <w:bCs/>
          <w:color w:val="2E86AB"/>
          <w:sz w:val="20"/>
          <w:szCs w:val="20"/>
        </w:rPr>
        <w:t xml:space="preserve">Four questions to answer alongside the count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What is the largest machine, and what is the biggest thing it will take? </w:t>
      </w:r>
      <w:r>
        <w:rPr>
          <w:rFonts w:ascii="Arial" w:cs="Arial" w:eastAsia="Arial" w:hAnsi="Arial"/>
          <w:b w:val="false"/>
          <w:bCs w:val="false"/>
          <w:i w:val="false"/>
          <w:iCs w:val="false"/>
          <w:caps w:val="false"/>
          <w:color w:val="2B3646"/>
          <w:sz w:val="20"/>
          <w:szCs w:val="20"/>
        </w:rPr>
        <w:t xml:space="preserve">This answer appears on the homepage, Self-Service, Oversized and the FAQ. It is the single most reused fact on the site.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How does a customer pay at the machine? </w:t>
      </w:r>
      <w:r>
        <w:rPr>
          <w:rFonts w:ascii="Arial" w:cs="Arial" w:eastAsia="Arial" w:hAnsi="Arial"/>
          <w:b w:val="false"/>
          <w:bCs w:val="false"/>
          <w:i w:val="false"/>
          <w:iCs w:val="false"/>
          <w:caps w:val="false"/>
          <w:color w:val="2B3646"/>
          <w:sz w:val="20"/>
          <w:szCs w:val="20"/>
        </w:rPr>
        <w:t xml:space="preserve">Card, coin, app, laundry card — exactly which. This one is a compliance answer, not a marketing one (§8.7).</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Are the wash-cycle times printed on the machines or in the manuals? </w:t>
      </w:r>
      <w:r>
        <w:rPr>
          <w:rFonts w:ascii="Arial" w:cs="Arial" w:eastAsia="Arial" w:hAnsi="Arial"/>
          <w:b w:val="false"/>
          <w:bCs w:val="false"/>
          <w:i w:val="false"/>
          <w:iCs w:val="false"/>
          <w:caps w:val="false"/>
          <w:color w:val="2B3646"/>
          <w:sz w:val="20"/>
          <w:szCs w:val="20"/>
        </w:rPr>
        <w:t xml:space="preserve">If yes, the Board gains a cycle-time column. If not, it does not — a guessed cycle time is invented data.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Is anything on the floor out of service or awaiting parts? </w:t>
      </w:r>
      <w:r>
        <w:rPr>
          <w:rFonts w:ascii="Arial" w:cs="Arial" w:eastAsia="Arial" w:hAnsi="Arial"/>
          <w:b w:val="false"/>
          <w:bCs w:val="false"/>
          <w:i w:val="false"/>
          <w:iCs w:val="false"/>
          <w:caps w:val="false"/>
          <w:color w:val="2B3646"/>
          <w:sz w:val="20"/>
          <w:szCs w:val="20"/>
        </w:rPr>
        <w:t xml:space="preserve">It does not go on The Board. Publishing a machine that does not work is the worst possible version of this page.</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WHY THIS FORM IS WORTH MORE THAN AN ASSUMPTION</w:t>
            </w:r>
          </w:p>
          <w:p>
            <w:pPr>
              <w:spacing w:after="0" w:line="258"/>
            </w:pPr>
            <w:r>
              <w:rPr>
                <w:rFonts w:ascii="Arial" w:cs="Arial" w:eastAsia="Arial" w:hAnsi="Arial"/>
                <w:b/>
                <w:bCs/>
                <w:i w:val="false"/>
                <w:iCs w:val="false"/>
                <w:caps w:val="false"/>
                <w:color w:val="2B3646"/>
                <w:sz w:val="18"/>
                <w:szCs w:val="18"/>
              </w:rPr>
              <w:t xml:space="preserve">An assumed Board would have to be re-done the first time anyone checked it, and every page that quotes it would need re-issuing. </w:t>
            </w:r>
            <w:r>
              <w:rPr>
                <w:rFonts w:ascii="Arial" w:cs="Arial" w:eastAsia="Arial" w:hAnsi="Arial"/>
                <w:b w:val="false"/>
                <w:bCs w:val="false"/>
                <w:i w:val="false"/>
                <w:iCs w:val="false"/>
                <w:caps w:val="false"/>
                <w:color w:val="2B3646"/>
                <w:sz w:val="18"/>
                <w:szCs w:val="18"/>
              </w:rPr>
              <w:t xml:space="preserve">A filled-in sheet is permanent, feeds five pages at once, and takes about twenty minutes. It is the highest-leverage twenty minutes available anywhere in this build.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2717"/>
        <w:gridCol w:w="3926"/>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9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Source or ask</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per lb</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$1.50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July 2026 — confirm or reprice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minimum</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10 lb</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turnaround</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next day</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 category norm</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per lb</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$2.00</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 smaller ring here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pickup fee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$5.00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 smaller ring here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 rush</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offered, priced separately</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Confirm whether offered at all</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6 AM – 11 PM</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rate</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 — not published</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quoted per account</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machine floor</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Intake sheet §3</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per-item prices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 — no defensible default</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per-item prices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 — no defensible default</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Compliance — never assumed (§8.7)</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PRICING PAGE IS WHERE INHERITED RATES GET DECIDED</w:t>
            </w:r>
          </w:p>
          <w:p>
            <w:pPr>
              <w:spacing w:after="0" w:line="258"/>
            </w:pPr>
            <w:r>
              <w:rPr>
                <w:rFonts w:ascii="Arial" w:cs="Arial" w:eastAsia="Arial" w:hAnsi="Arial"/>
                <w:b/>
                <w:bCs/>
                <w:i w:val="false"/>
                <w:iCs w:val="false"/>
                <w:caps w:val="false"/>
                <w:color w:val="2B3646"/>
                <w:sz w:val="18"/>
                <w:szCs w:val="18"/>
              </w:rPr>
              <w:t xml:space="preserve">Publishing $1.50 and $2.00 here makes them real across the whole site. </w:t>
            </w:r>
            <w:r>
              <w:rPr>
                <w:rFonts w:ascii="Arial" w:cs="Arial" w:eastAsia="Arial" w:hAnsi="Arial"/>
                <w:b w:val="false"/>
                <w:bCs w:val="false"/>
                <w:i w:val="false"/>
                <w:iCs w:val="false"/>
                <w:caps w:val="false"/>
                <w:color w:val="2B3646"/>
                <w:sz w:val="18"/>
                <w:szCs w:val="18"/>
              </w:rPr>
              <w:t xml:space="preserve">Avondale is renter-heavier and price-led; this store is positioned on reliability in a higher-income catchment, and its delivery ring is geographically smaller. Inheriting the sister store’s list is the safe default, not necessarily the right price. This is the page to decide that on purpose.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"Every price we charge, posted"</w:t>
            </w:r>
          </w:p>
          <w:p>
            <w:pPr>
              <w:spacing w:after="0" w:line="236"/>
            </w:pPr>
            <w:r>
              <w:rPr>
                <w:rFonts w:ascii="Consolas" w:cs="Consolas" w:eastAsia="Consolas" w:hAnsi="Consolas"/>
                <w:color w:val="10233F"/>
                <w:sz w:val="16"/>
                <w:szCs w:val="16"/>
              </w:rPr>
              <w:t xml:space="preserve">P1:  "Here is what everything costs at Laundry Station, 6043 W Addison</w:t>
            </w:r>
          </w:p>
          <w:p>
            <w:pPr>
              <w:spacing w:after="0" w:line="236"/>
            </w:pPr>
            <w:r>
              <w:rPr>
                <w:rFonts w:ascii="Consolas" w:cs="Consolas" w:eastAsia="Consolas" w:hAnsi="Consolas"/>
                <w:color w:val="10233F"/>
                <w:sz w:val="16"/>
                <w:szCs w:val="16"/>
              </w:rPr>
              <w:t xml:space="preserve">      St — every washer and dryer on the floor, wash and fold by the</w:t>
            </w:r>
          </w:p>
          <w:p>
            <w:pPr>
              <w:spacing w:after="0" w:line="236"/>
            </w:pPr>
            <w:r>
              <w:rPr>
                <w:rFonts w:ascii="Consolas" w:cs="Consolas" w:eastAsia="Consolas" w:hAnsi="Consolas"/>
                <w:color w:val="10233F"/>
                <w:sz w:val="16"/>
                <w:szCs w:val="16"/>
              </w:rPr>
              <w:t xml:space="preserve">      pound, pickup and delivery, and household items. No surprises</w:t>
            </w:r>
          </w:p>
          <w:p>
            <w:pPr>
              <w:spacing w:after="0" w:line="236"/>
            </w:pPr>
            <w:r>
              <w:rPr>
                <w:rFonts w:ascii="Consolas" w:cs="Consolas" w:eastAsia="Consolas" w:hAnsi="Consolas"/>
                <w:color w:val="10233F"/>
                <w:sz w:val="16"/>
                <w:szCs w:val="16"/>
              </w:rPr>
              <w:t xml:space="preserve">      when you get here."</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prices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 The Board</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price per pound Chicago</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3</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it cost to wash a comforter</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5 + The Board large tiers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delivery cost Chicago</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4</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biggest washer near me / 60 lb washer price</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&lt;laundromat&gt; take cards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7</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real HTML table is the correct structure for AEO here, not an image or a styled div grid. Answer engines parse tables well, and a price table is one of the few content types they will quote wholesale. That is another reason The Board is semantic markup and never a screenshot of a printed price list.</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&lt;title&gt;Laundromat Prices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content="Every price at Laundry Station,</w:t>
            </w:r>
          </w:p>
          <w:p>
            <w:pPr>
              <w:spacing w:after="0" w:line="236"/>
            </w:pPr>
            <w:r>
              <w:rPr>
                <w:rFonts w:ascii="Consolas" w:cs="Consolas" w:eastAsia="Consolas" w:hAnsi="Consolas"/>
                <w:color w:val="10233F"/>
                <w:sz w:val="16"/>
                <w:szCs w:val="16"/>
              </w:rPr>
              <w:t xml:space="preserve">  6043 W Addison St — washers and dryers by size, wash and fold by</w:t>
            </w:r>
          </w:p>
          <w:p>
            <w:pPr>
              <w:spacing w:after="0" w:line="236"/>
            </w:pPr>
            <w:r>
              <w:rPr>
                <w:rFonts w:ascii="Consolas" w:cs="Consolas" w:eastAsia="Consolas" w:hAnsi="Consolas"/>
                <w:color w:val="10233F"/>
                <w:sz w:val="16"/>
                <w:szCs w:val="16"/>
              </w:rPr>
              <w:t xml:space="preserve">  the pound, pickup and delivery, and household items. Posted before</w:t>
            </w:r>
          </w:p>
          <w:p>
            <w:pPr>
              <w:spacing w:after="0" w:line="236"/>
            </w:pPr>
            <w:r>
              <w:rPr>
                <w:rFonts w:ascii="Consolas" w:cs="Consolas" w:eastAsia="Consolas" w:hAnsi="Consolas"/>
                <w:color w:val="10233F"/>
                <w:sz w:val="16"/>
                <w:szCs w:val="16"/>
              </w:rPr>
              <w:t xml:space="preserve">  you arrive."&gt;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href="https://{{DOMAIN}}/pricing/"&gt;</w:t>
            </w:r>
          </w:p>
          <w:p>
            <w:pPr>
              <w:spacing w:after="0" w:line="236"/>
            </w:pPr>
            <w:r>
              <w:rPr>
                <w:rFonts w:ascii="Consolas" w:cs="Consolas" w:eastAsia="Consolas" w:hAnsi="Consolas"/>
                <w:color w:val="10233F"/>
                <w:sz w:val="16"/>
                <w:szCs w:val="16"/>
              </w:rPr>
              <w:t xml:space="preserve">&lt;link rel="alternate" hreflang="en" href="https://{{DOMAIN}}/pricing/"&gt;</w:t>
            </w:r>
          </w:p>
          <w:p>
            <w:pPr>
              <w:spacing w:after="0" w:line="236"/>
            </w:pPr>
            <w:r>
              <w:rPr>
                <w:rFonts w:ascii="Consolas" w:cs="Consolas" w:eastAsia="Consolas" w:hAnsi="Consolas"/>
                <w:color w:val="10233F"/>
                <w:sz w:val="16"/>
                <w:szCs w:val="16"/>
              </w:rPr>
              <w:t xml:space="preserve">&lt;link rel="alternate" hreflang="es" href="https://{{DOMAIN}}/es/precios/"&gt;</w:t>
            </w:r>
          </w:p>
          <w:p>
            <w:pPr>
              <w:spacing w:after="0" w:line="236"/>
            </w:pPr>
            <w:r>
              <w:rPr>
                <w:rFonts w:ascii="Consolas" w:cs="Consolas" w:eastAsia="Consolas" w:hAnsi="Consolas"/>
                <w:color w:val="10233F"/>
                <w:sz w:val="16"/>
                <w:szCs w:val="16"/>
              </w:rPr>
              <w:t xml:space="preserve">&lt;link rel="alternate" hreflang="x-default" href="https://{{DOMAIN}}/pricing/"&gt;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DESCRIPTION AVOIDS ONE WORD</w:t>
            </w:r>
          </w:p>
          <w:p>
            <w:pPr>
              <w:spacing w:after="0" w:line="258"/>
            </w:pPr>
            <w:r>
              <w:rPr>
                <w:rFonts w:ascii="Arial" w:cs="Arial" w:eastAsia="Arial" w:hAnsi="Arial"/>
                <w:b w:val="false"/>
                <w:bCs w:val="false"/>
                <w:i w:val="false"/>
                <w:iCs w:val="false"/>
                <w:caps w:val="false"/>
                <w:color w:val="2B3646"/>
                <w:sz w:val="18"/>
                <w:szCs w:val="18"/>
              </w:rPr>
              <w:t xml:space="preserve">It does not say “affordable,” “cheap,” “best value” or “low prices.” The claim is visibility, not price level — the meta description is the most common place that discipline slips.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WebPage + Speakable and BreadcrumbList always. Offer markup is conditional and mostly does not apply.</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OFFER SCHEMA ON THIS PAGE IS NARROWER THAN IT LOOKS</w:t>
            </w:r>
          </w:p>
          <w:p>
            <w:pPr>
              <w:spacing w:after="0" w:line="258"/>
            </w:pPr>
            <w:r>
              <w:rPr>
                <w:rFonts w:ascii="Arial" w:cs="Arial" w:eastAsia="Arial" w:hAnsi="Arial"/>
                <w:b/>
                <w:bCs/>
                <w:i w:val="false"/>
                <w:iCs w:val="false"/>
                <w:caps w:val="false"/>
                <w:color w:val="2B3646"/>
                <w:sz w:val="18"/>
                <w:szCs w:val="18"/>
              </w:rPr>
              <w:t xml:space="preserve">Offer is permitted only on a confirmed, genuinely fixed price. </w:t>
            </w:r>
            <w:r>
              <w:rPr>
                <w:rFonts w:ascii="Arial" w:cs="Arial" w:eastAsia="Arial" w:hAnsi="Arial"/>
                <w:b w:val="false"/>
                <w:bCs w:val="false"/>
                <w:i w:val="false"/>
                <w:iCs w:val="false"/>
                <w:caps w:val="false"/>
                <w:color w:val="2B3646"/>
                <w:sz w:val="18"/>
                <w:szCs w:val="18"/>
              </w:rPr>
              <w:t xml:space="preserve">A machine start price qualifies once confirmed. A per-pound rate with a minimum does not — the total varies by weight, so marking it as an Offer with a price misrepresents it. Commercial has no published price at all. When in doubt, omit Offer and let the visible table do the work; there is no ranking penalty for its absence and a real risk in its misuse.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 aggregateRating anywhere on this page. No FAQPage block unless an FAQ is added to the page, which the current block plan does not include — the questions this page raises are answered inline in the tables.</w:t>
      </w:r>
    </w:p>
    <w:p>
      <w:pPr>
        <w:keepNext/>
        <w:pBdr>
          <w:bottom w:val="single" w:color="E8751A" w:sz="14" w:space="8"/>
        </w:pBdr>
        <w:spacing w:after="150" w:before="300" w:line="300"/>
      </w:pPr>
      <w:r>
        <w:rPr>
          <w:rFonts w:ascii="Poppins" w:cs="Poppins" w:eastAsia="Poppins" w:hAnsi="Poppins"/>
          <w:b/>
          <w:bCs/>
          <w:color w:val="1B3C6E"/>
          <w:sz w:val="30"/>
          <w:szCs w:val="30"/>
        </w:rPr>
        <w:t xml:space="preserve">8.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Eight blocks. Craft in the paired Design Guide.</w:t>
      </w:r>
    </w:p>
    <w:p>
      <w:pPr>
        <w:keepNext/>
        <w:spacing w:after="110" w:before="260" w:line="288"/>
      </w:pPr>
      <w:r>
        <w:rPr>
          <w:rFonts w:ascii="Poppins" w:cs="Poppins" w:eastAsia="Poppins" w:hAnsi="Poppins"/>
          <w:b/>
          <w:bCs/>
          <w:color w:val="1B3C6E"/>
          <w:sz w:val="23"/>
          <w:szCs w:val="23"/>
        </w:rPr>
        <w:t xml:space="preserve">8.1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“Every price we charge, posted”</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As drafted in §5 — states what is listed and ends on “no surprises when you get here.”</w:t>
      </w:r>
    </w:p>
    <w:p>
      <w:pPr>
        <w:keepNext w:val="false"/>
        <w:spacing w:after="120" w:before="0" w:line="264"/>
      </w:pPr>
      <w:r>
        <w:rPr>
          <w:rFonts w:ascii="Arial" w:cs="Arial" w:eastAsia="Arial" w:hAnsi="Arial"/>
          <w:b/>
          <w:bCs/>
          <w:i w:val="false"/>
          <w:iCs w:val="false"/>
          <w:caps w:val="false"/>
          <w:color w:val="1B3C6E"/>
          <w:sz w:val="20"/>
          <w:szCs w:val="20"/>
        </w:rPr>
        <w:t xml:space="preserve">Rule  </w:t>
      </w:r>
      <w:r>
        <w:rPr>
          <w:rFonts w:ascii="Arial" w:cs="Arial" w:eastAsia="Arial" w:hAnsi="Arial"/>
          <w:b w:val="false"/>
          <w:bCs w:val="false"/>
          <w:i w:val="false"/>
          <w:iCs w:val="false"/>
          <w:caps w:val="false"/>
          <w:color w:val="2B3646"/>
          <w:sz w:val="20"/>
          <w:szCs w:val="20"/>
        </w:rPr>
        <w:t xml:space="preserve">No buttons in this hero (variant C). Someone on the pricing page is reading, not converting; a CTA here interrupts.</w:t>
      </w:r>
    </w:p>
    <w:p>
      <w:pPr>
        <w:keepNext/>
        <w:spacing w:after="110" w:before="260" w:line="288"/>
      </w:pPr>
      <w:r>
        <w:rPr>
          <w:rFonts w:ascii="Poppins" w:cs="Poppins" w:eastAsia="Poppins" w:hAnsi="Poppins"/>
          <w:b/>
          <w:bCs/>
          <w:color w:val="1B3C6E"/>
          <w:sz w:val="23"/>
          <w:szCs w:val="23"/>
        </w:rPr>
        <w:t xml:space="preserve">8.2 Block 2 — The Board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4328"/>
        <w:gridCol w:w="3422"/>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Column</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 or dryer, by tier — e.g. “40 lb washer”</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Tier PROVISIONAL</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Capacity</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actually fits, in human terms</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Installed count of that machine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Start price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Plain-language examples in the owner’s words</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cycle</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Minutes — only if verified from spec sheets</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Column omitted by default</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Two tables, not one: </w:t>
      </w:r>
      <w:r>
        <w:rPr>
          <w:rFonts w:ascii="Arial" w:cs="Arial" w:eastAsia="Arial" w:hAnsi="Arial"/>
          <w:b w:val="false"/>
          <w:bCs w:val="false"/>
          <w:i w:val="false"/>
          <w:iCs w:val="false"/>
          <w:caps w:val="false"/>
          <w:color w:val="2B3646"/>
          <w:sz w:val="20"/>
          <w:szCs w:val="20"/>
        </w:rPr>
        <w:t xml:space="preserve">washers and dryers, each with its own caption. A single table mixing them forces a machine-type column that adds nothing.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availability column, ever, in v1. </w:t>
      </w:r>
      <w:r>
        <w:rPr>
          <w:rFonts w:ascii="Arial" w:cs="Arial" w:eastAsia="Arial" w:hAnsi="Arial"/>
          <w:b w:val="false"/>
          <w:bCs w:val="false"/>
          <w:i w:val="false"/>
          <w:iCs w:val="false"/>
          <w:caps w:val="false"/>
          <w:color w:val="2B3646"/>
          <w:sz w:val="20"/>
          <w:szCs w:val="20"/>
        </w:rPr>
        <w:t xml:space="preserve">A static count of free machines is a fabricated statistic; live availability needs a payment-system feed (Phase 2).</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comparison, discount or savings column. </w:t>
      </w:r>
      <w:r>
        <w:rPr>
          <w:rFonts w:ascii="Arial" w:cs="Arial" w:eastAsia="Arial" w:hAnsi="Arial"/>
          <w:b w:val="false"/>
          <w:bCs w:val="false"/>
          <w:i w:val="false"/>
          <w:iCs w:val="false"/>
          <w:caps w:val="false"/>
          <w:color w:val="2B3646"/>
          <w:sz w:val="20"/>
          <w:szCs w:val="20"/>
        </w:rPr>
        <w:t xml:space="preserve">The Board posts prices and never frames them against anything.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caption above each table </w:t>
      </w:r>
      <w:r>
        <w:rPr>
          <w:rFonts w:ascii="Arial" w:cs="Arial" w:eastAsia="Arial" w:hAnsi="Arial"/>
          <w:b w:val="false"/>
          <w:bCs w:val="false"/>
          <w:i w:val="false"/>
          <w:iCs w:val="false"/>
          <w:caps w:val="false"/>
          <w:color w:val="2B3646"/>
          <w:sz w:val="20"/>
          <w:szCs w:val="20"/>
        </w:rPr>
        <w:t xml:space="preserve">naming what it lists, for screen readers and for scanning.</w:t>
      </w:r>
    </w:p>
    <w:p>
      <w:pPr>
        <w:keepNext/>
        <w:spacing w:after="110" w:before="260" w:line="288"/>
      </w:pPr>
      <w:r>
        <w:rPr>
          <w:rFonts w:ascii="Poppins" w:cs="Poppins" w:eastAsia="Poppins" w:hAnsi="Poppins"/>
          <w:b/>
          <w:bCs/>
          <w:color w:val="1B3C6E"/>
          <w:sz w:val="23"/>
          <w:szCs w:val="23"/>
        </w:rPr>
        <w:t xml:space="preserve">8.3 Block 3 — Wash &amp; Fold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818"/>
        <w:gridCol w:w="3221"/>
        <w:gridCol w:w="3321"/>
      </w:tblGrid>
      <w:tr>
        <w:trPr>
          <w:cantSplit/>
          <w:tblHeader/>
        </w:trPr>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Line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Minimum</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lb</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Next day</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 rush</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{{RUSH_PRICE}}</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 — confirm if offered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worked example beneath the table earns its place here: “A typical bag runs 12–18 lb, so most wash and fold orders land between {{EXAMPLE_LOW}} and {{EXAMPLE_HIGH}}.” It answers the question the table technically answers but does not make easy, and it is the single most useful sentence on the page for a first-time customer.</w:t>
      </w:r>
    </w:p>
    <w:p>
      <w:pPr>
        <w:keepNext/>
        <w:spacing w:after="110" w:before="260" w:line="288"/>
      </w:pPr>
      <w:r>
        <w:rPr>
          <w:rFonts w:ascii="Poppins" w:cs="Poppins" w:eastAsia="Poppins" w:hAnsi="Poppins"/>
          <w:b/>
          <w:bCs/>
          <w:color w:val="1B3C6E"/>
          <w:sz w:val="23"/>
          <w:szCs w:val="23"/>
        </w:rPr>
        <w:t xml:space="preserve">8.4 Block 4 — Pickup &amp; Delivery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818"/>
        <w:gridCol w:w="3221"/>
        <w:gridCol w:w="3321"/>
      </w:tblGrid>
      <w:tr>
        <w:trPr>
          <w:cantSplit/>
          <w:tblHeader/>
        </w:trPr>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Line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$2.00</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fee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$5.00</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Minimum</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as wash &amp; fold</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area</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{{DELIVERY_RING}}</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One honest sentence explaining the difference between this and drop-off: the higher per-pound rate and the fee cover the driver’s time and fuel. Explaining a price difference plainly is more persuasive than hiding it, and it pre-empts the most common objection on the delivery page.</w:t>
      </w:r>
    </w:p>
    <w:p>
      <w:pPr>
        <w:keepNext/>
        <w:spacing w:after="110" w:before="260" w:line="288"/>
      </w:pPr>
      <w:r>
        <w:rPr>
          <w:rFonts w:ascii="Poppins" w:cs="Poppins" w:eastAsia="Poppins" w:hAnsi="Poppins"/>
          <w:b/>
          <w:bCs/>
          <w:color w:val="1B3C6E"/>
          <w:sz w:val="23"/>
          <w:szCs w:val="23"/>
        </w:rPr>
        <w:t xml:space="preserve">8.5 Block 5 — Oversized &amp; household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Per-item prices for comforters by size, duvets, area rugs by size, sleeping bags, pillows, mattress pads and pet bedding. All BLOCKED — there is no defensible default, because these prices depend on the machine tiers the store actually has. This table is filled in from the same conversation as the intake sheet.</w:t>
      </w:r>
    </w:p>
    <w:p>
      <w:pPr>
        <w:keepNext/>
        <w:spacing w:after="110" w:before="260" w:line="288"/>
      </w:pPr>
      <w:r>
        <w:rPr>
          <w:rFonts w:ascii="Poppins" w:cs="Poppins" w:eastAsia="Poppins" w:hAnsi="Poppins"/>
          <w:b/>
          <w:bCs/>
          <w:color w:val="1B3C6E"/>
          <w:sz w:val="23"/>
          <w:szCs w:val="23"/>
        </w:rPr>
        <w:t xml:space="preserve">8.6 Block 6 — Ironing &amp; pressing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Per-item prices — shirts, trousers, suits, uniforms, linens. BLOCKED. This table is the same data that appears as the attachment block inside Wash &amp; Fold, and the two must be generated from one source so they can never disagree.</w:t>
      </w:r>
    </w:p>
    <w:p>
      <w:pPr>
        <w:keepNext/>
        <w:spacing w:after="110" w:before="260" w:line="288"/>
      </w:pPr>
      <w:r>
        <w:rPr>
          <w:rFonts w:ascii="Poppins" w:cs="Poppins" w:eastAsia="Poppins" w:hAnsi="Poppins"/>
          <w:b/>
          <w:bCs/>
          <w:color w:val="1B3C6E"/>
          <w:sz w:val="23"/>
          <w:szCs w:val="23"/>
        </w:rPr>
        <w:t xml:space="preserve">8.7 Block 7 — How to pay</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COMPLIANCE BLOCK ON THIS PAGE</w:t>
            </w:r>
          </w:p>
          <w:p>
            <w:pPr>
              <w:spacing w:after="0" w:line="258"/>
            </w:pPr>
            <w:r>
              <w:rPr>
                <w:rFonts w:ascii="Arial" w:cs="Arial" w:eastAsia="Arial" w:hAnsi="Arial"/>
                <w:b/>
                <w:bCs/>
                <w:i w:val="false"/>
                <w:iCs w:val="false"/>
                <w:caps w:val="false"/>
                <w:color w:val="2B3646"/>
                <w:sz w:val="18"/>
                <w:szCs w:val="18"/>
              </w:rPr>
              <w:t xml:space="preserve">SNAP food benefits cannot lawfully pay for laundry. Illinois LINK cards can also carry cash assistance, which can. </w:t>
            </w:r>
            <w:r>
              <w:rPr>
                <w:rFonts w:ascii="Arial" w:cs="Arial" w:eastAsia="Arial" w:hAnsi="Arial"/>
                <w:b w:val="false"/>
                <w:bCs w:val="false"/>
                <w:i w:val="false"/>
                <w:iCs w:val="false"/>
                <w:caps w:val="false"/>
                <w:color w:val="2B3646"/>
                <w:sz w:val="18"/>
                <w:szCs w:val="18"/>
              </w:rPr>
              <w:t xml:space="preserve">The sister site publishes an unqualified “EBT accepted” — that defect is live and must not be inherited. This block states exactly which payment methods the machines and the counter accept, in the owner’s confirmed words. It is never assumed, never inherited, and never softened into a general statement.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Rendered as a chip row rather than prose, because a customer scanning for “do they take cards” should find it in under a second.</w:t>
      </w:r>
    </w:p>
    <w:p>
      <w:pPr>
        <w:keepNext/>
        <w:spacing w:after="110" w:before="260" w:line="288"/>
      </w:pPr>
      <w:r>
        <w:rPr>
          <w:rFonts w:ascii="Poppins" w:cs="Poppins" w:eastAsia="Poppins" w:hAnsi="Poppins"/>
          <w:b/>
          <w:bCs/>
          <w:color w:val="1B3C6E"/>
          <w:sz w:val="23"/>
          <w:szCs w:val="23"/>
        </w:rPr>
        <w:t xml:space="preserve">8.8 Block 8 — Conversion &amp; routing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is a hub, not a dead end. Each rate block carries a text link back to the service it belongs to — Wash &amp; Fold, Pickup &amp; Delivery, Self-Service, Oversized, Ironing — and the block closes with Schedule Pickup, Call and Directions. This is the only place on the page an amber button appears.</w:t>
      </w:r>
    </w:p>
    <w:p>
      <w:pPr>
        <w:keepNext/>
        <w:pBdr>
          <w:bottom w:val="single" w:color="E8751A" w:sz="14" w:space="8"/>
        </w:pBdr>
        <w:spacing w:after="150" w:before="300" w:line="300"/>
      </w:pPr>
      <w:r>
        <w:rPr>
          <w:rFonts w:ascii="Poppins" w:cs="Poppins" w:eastAsia="Poppins" w:hAnsi="Poppins"/>
          <w:b/>
          <w:bCs/>
          <w:color w:val="1B3C6E"/>
          <w:sz w:val="30"/>
          <w:szCs w:val="30"/>
        </w:rPr>
        <w:t xml:space="preserve">9. Analytics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623"/>
        <w:gridCol w:w="3422"/>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board_view</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scrolls into view</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board_dwell</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Ten seconds within The Board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rate_link_click</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rate block’s link to its service page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schedule_click</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conversion CTA</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pricing_footer</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call_click</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tel: link</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board_dwell is the interesting one. If visitors read The Board for ten seconds, the signature element is doing its job and deserves more prominence on the homepage; if they bounce off it, the table is too dense and needs simplifying. That is a real design question the data can settle within a month.</w:t>
      </w:r>
    </w:p>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 description carries no price-level claim</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is two real HTML tables with captions — never an image, never a div grid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availability column; no cycle-time column unless verified from spec sheets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Intake sheet (§3) returned and every Board cell populated from it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Out-of-service machines excluded from The Board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Offer schema only on confirmed fixed prices; none on per-pound rates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block states the confirmed methods; EBT / LINK rule honoured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rate block links back to its service page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 identical to the figures on Wash &amp; Fold and Pickup &amp; Delivery</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table generated from the same source as the Wash &amp; Fold attachment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comparison, or price-level language anywhere on the page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provisional or blocked value present in the production build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Pricing / The Board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Pricing / The Board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Pricing / The Board Developer Guide v1.0</dc:title>
  <dc:creator>TradeWorks AI</dc:creator>
  <dc:description>Laundry Station — Website Content Strategy &amp; Plan v1.0</dc:description>
  <cp:lastModifiedBy>Un-named</cp:lastModifiedBy>
  <cp:revision>1</cp:revision>
  <dcterms:created xsi:type="dcterms:W3CDTF">2026-07-29T20:24:23.915Z</dcterms:created>
  <dcterms:modified xsi:type="dcterms:W3CDTF">2026-07-29T20:24:23.916Z</dcterms:modified>
</cp:coreProperties>
</file>

<file path=docProps/custom.xml><?xml version="1.0" encoding="utf-8"?>
<Properties xmlns="http://schemas.openxmlformats.org/officeDocument/2006/custom-properties" xmlns:vt="http://schemas.openxmlformats.org/officeDocument/2006/docPropsVTypes"/>
</file>