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Pricing — The Board</w:t>
      </w:r>
    </w:p>
    <w:p>
      <w:pPr>
        <w:spacing w:after="40" w:line="340"/>
      </w:pPr>
      <w:r>
        <w:rPr>
          <w:rFonts w:ascii="Poppins" w:cs="Poppins" w:eastAsia="Poppins" w:hAnsi="Poppins"/>
          <w:b/>
          <w:bCs/>
          <w:color w:val="1B3C6E"/>
          <w:sz w:val="50"/>
          <w:szCs w:val="50"/>
        </w:rPr>
        <w:t xml:space="preserve">Spanish Restatement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signature page in Spanish — including the one column that cannot be translated at all.</w:t>
      </w:r>
    </w:p>
    <w:p>
      <w:pPr>
        <w:spacing w:after="60" w:line="288"/>
      </w:pPr>
      <w:r>
        <w:rPr>
          <w:rFonts w:ascii="Arial" w:cs="Arial" w:eastAsia="Arial" w:hAnsi="Arial"/>
          <w:color w:val="6A7686"/>
          <w:sz w:val="20"/>
          <w:szCs w:val="20"/>
        </w:rPr>
        <w:t xml:space="preserve">/es/precios/  ·  Laundry Station, Chicago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/es/precios/ — mirror of /pricing/</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Standard</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§7.2 — nine points answered in §2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Register</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Tú — returns to the consumer register after Commercial’s usted (§1)</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Distinct challenge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The “What it fits” column is the owner’s own words and must be re-authored, not translated (§4.2)</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Sign-off</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Native-speaker review required before launch (§9)</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Back to Tú — the Register Returns</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The Nine-Point Standard, Answered</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3. Query Targets in Spanish</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4. The Board in Spanish</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4.1 Column headers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4.2 The hardest column — “What it fits”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4.3 The mobile stack in Spanish</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The Page, Restated Block by Block</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5.1 Hero</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5.2 Wash &amp; Fold and Delivery rates</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5.3 Oversized &amp; household</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5.4 Ironing, payment and routing</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6. Head, Schema and Locale Wiring</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40" w:line="258"/>
      </w:pPr>
      <w:r>
        <w:rPr>
          <w:rFonts w:ascii="Poppins" w:cs="Poppins" w:eastAsia="Poppins" w:hAnsi="Poppins"/>
          <w:b/>
          <w:bCs/>
          <w:color w:val="1B3C6E"/>
          <w:sz w:val="19"/>
          <w:szCs w:val="19"/>
        </w:rPr>
        <w:t xml:space="preserve">7. Pricing Terminology Register</w:t>
      </w:r>
      <w:r>
        <w:rPr>
          <w:color w:val="6A7686"/>
          <w:sz w:val="17"/>
          <w:szCs w:val="17"/>
        </w:rPr>
        <w:ptab w:alignment="right" w:relativeTo="margin" w:leader="dot"/>
      </w:r>
      <w:r>
        <w:rPr>
          <w:rFonts w:ascii="Arial" w:cs="Arial" w:eastAsia="Arial" w:hAnsi="Arial"/>
          <w:b/>
          <w:bCs/>
          <w:color w:val="1B3C6E"/>
          <w:sz w:val="17"/>
          <w:szCs w:val="17"/>
        </w:rPr>
        <w:t xml:space="preserve">7</w:t>
      </w:r>
    </w:p>
    <w:p>
      <w:pPr>
        <w:tabs>
          <w:tab w:val="right" w:pos="9360" w:leader="dot"/>
        </w:tabs>
        <w:spacing w:after="40" w:line="258"/>
      </w:pPr>
      <w:r>
        <w:rPr>
          <w:rFonts w:ascii="Poppins" w:cs="Poppins" w:eastAsia="Poppins" w:hAnsi="Poppins"/>
          <w:b/>
          <w:bCs/>
          <w:color w:val="1B3C6E"/>
          <w:sz w:val="19"/>
          <w:szCs w:val="19"/>
        </w:rPr>
        <w:t xml:space="preserve">8. Layout Tolerance</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Review &amp; Sign-off</w:t>
      </w:r>
      <w:r>
        <w:rPr>
          <w:color w:val="6A7686"/>
          <w:sz w:val="17"/>
          <w:szCs w:val="17"/>
        </w:rPr>
        <w:ptab w:alignment="right" w:relativeTo="margin" w:leader="dot"/>
      </w:r>
      <w:r>
        <w:rPr>
          <w:rFonts w:ascii="Arial" w:cs="Arial" w:eastAsia="Arial" w:hAnsi="Arial"/>
          <w:b/>
          <w:bCs/>
          <w:color w:val="1B3C6E"/>
          <w:sz w:val="17"/>
          <w:szCs w:val="17"/>
        </w:rPr>
        <w:t xml:space="preserve">8</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Back to Tú — the Register Returns</w:t>
      </w:r>
    </w:p>
    <w:p>
      <w:pPr>
        <w:keepNext w:val="false"/>
        <w:spacing w:after="120" w:before="0" w:line="264"/>
      </w:pPr>
      <w:r>
        <w:rPr>
          <w:rFonts w:ascii="Arial" w:cs="Arial" w:eastAsia="Arial" w:hAnsi="Arial"/>
          <w:b/>
          <w:bCs/>
          <w:i w:val="false"/>
          <w:iCs w:val="false"/>
          <w:caps w:val="false"/>
          <w:color w:val="1B3C6E"/>
          <w:sz w:val="20"/>
          <w:szCs w:val="20"/>
        </w:rPr>
        <w:t xml:space="preserve">Commercial is the only page on this site that uses usted. Everything else, including this page, uses tú. </w:t>
      </w:r>
      <w:r>
        <w:rPr>
          <w:rFonts w:ascii="Arial" w:cs="Arial" w:eastAsia="Arial" w:hAnsi="Arial"/>
          <w:b w:val="false"/>
          <w:bCs w:val="false"/>
          <w:i w:val="false"/>
          <w:iCs w:val="false"/>
          <w:caps w:val="false"/>
          <w:color w:val="2B3646"/>
          <w:sz w:val="20"/>
          <w:szCs w:val="20"/>
        </w:rPr>
        <w:t xml:space="preserve">That is deliberate and it needs stating explicitly, because whoever writes or reviews this page immediately after the Commercial page will carry the formal register across by momentum. A pricing page addressed to a household in usted reads as a utility bill.</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026"/>
        <w:gridCol w:w="1812"/>
        <w:gridCol w:w="3522"/>
      </w:tblGrid>
      <w:tr>
        <w:trPr>
          <w:cantSplit/>
          <w:tblHeader/>
        </w:trPr>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Register</w:t>
            </w:r>
          </w:p>
        </w:tc>
        <w:tc>
          <w:tcPr>
            <w:tcW w:type="dxa" w:w="35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Reason</w:t>
            </w:r>
          </w:p>
        </w:tc>
      </w:tr>
      <w:tr>
        <w:trPr>
          <w:cantSplit/>
          <w:tblHeader w:val="false"/>
        </w:trPr>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consumer pages, including this one</w:t>
            </w:r>
          </w:p>
        </w:tc>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B3646"/>
                <w:sz w:val="18"/>
                <w:szCs w:val="18"/>
              </w:rPr>
              <w:t xml:space="preserve">Tú</w:t>
            </w:r>
          </w:p>
        </w:tc>
        <w:tc>
          <w:tcPr>
            <w:tcW w:type="dxa" w:w="35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neighbour, spoken to plainly</w:t>
            </w:r>
          </w:p>
        </w:tc>
      </w:tr>
      <w:tr>
        <w:trPr>
          <w:cantSplit/>
          <w:tblHeader w:val="false"/>
        </w:trPr>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 only</w:t>
            </w:r>
          </w:p>
        </w:tc>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Usted</w:t>
            </w:r>
          </w:p>
        </w:tc>
        <w:tc>
          <w:tcPr>
            <w:tcW w:type="dxa" w:w="35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first approach to a business owner</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PRICING PAGE HAS ALMOST NO SECOND PERSON</w:t>
            </w:r>
          </w:p>
          <w:p>
            <w:pPr>
              <w:spacing w:after="0" w:line="258"/>
            </w:pPr>
            <w:r>
              <w:rPr>
                <w:rFonts w:ascii="Arial" w:cs="Arial" w:eastAsia="Arial" w:hAnsi="Arial"/>
                <w:b w:val="false"/>
                <w:bCs w:val="false"/>
                <w:i w:val="false"/>
                <w:iCs w:val="false"/>
                <w:caps w:val="false"/>
                <w:color w:val="2B3646"/>
                <w:sz w:val="18"/>
                <w:szCs w:val="18"/>
              </w:rPr>
              <w:t xml:space="preserve">A price table addresses nobody. The register only surfaces in the hero lede, the worked example, and the routing links — perhaps six sentences on the whole page. That makes it easy to get wrong without noticing, so those six sentences are where review attention goes.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Nine-Point Standard, Answered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617"/>
        <w:gridCol w:w="6240"/>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624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Mirrored slug</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/es/precios/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hreflang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x-default → English</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 attribute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H1 and lede</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§5.1</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query target</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“precios de lavandería Chicago” — §3</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Locked service naming</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six names as registered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Native FAQ</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6A7686"/>
                <w:sz w:val="18"/>
                <w:szCs w:val="18"/>
              </w:rPr>
              <w:t xml:space="preserve">N/A — this page carries no FAQ block</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624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Offer only on confirmed fixed prices; no FAQPage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tolerance</w:t>
            </w:r>
          </w:p>
        </w:tc>
        <w:tc>
          <w:tcPr>
            <w:tcW w:type="dxa" w:w="624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headers and stacked labels at 320px — §8</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Query Targets in Spanish</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3623"/>
        <w:gridCol w:w="4429"/>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query</w:t>
            </w:r>
          </w:p>
        </w:tc>
        <w:tc>
          <w:tcPr>
            <w:tcW w:type="dxa" w:w="44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precios de lavandería Chicago</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direct high-volume term</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lavar la ropa</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the question is actually asked</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 por libra lavado y doblado</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on wash &amp; fold rates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cuánto cuesta lavar un edredón</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block — strong local intent</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 grande cerca de mí</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 large tiers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¿aceptan tarjeta en la lavandería?</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block</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“Cuánto cuesta lavar un edredón” deserves particular attention. It is a high-intent question with a clear answer, almost no Spanish-language competition locally, and it maps directly to the store’s genuine advantage — the large machines. If one Spanish query is worth optimising a block around, it is that one.</w:t>
      </w:r>
    </w:p>
    <w:p>
      <w:pPr>
        <w:keepNext/>
        <w:pBdr>
          <w:bottom w:val="single" w:color="E8751A" w:sz="14" w:space="8"/>
        </w:pBdr>
        <w:spacing w:after="150" w:before="300" w:line="300"/>
      </w:pPr>
      <w:r>
        <w:rPr>
          <w:rFonts w:ascii="Poppins" w:cs="Poppins" w:eastAsia="Poppins" w:hAnsi="Poppins"/>
          <w:b/>
          <w:bCs/>
          <w:color w:val="1B3C6E"/>
          <w:sz w:val="30"/>
          <w:szCs w:val="30"/>
        </w:rPr>
        <w:t xml:space="preserve">4. The Board in Spanish</w:t>
      </w:r>
    </w:p>
    <w:p>
      <w:pPr>
        <w:keepNext/>
        <w:spacing w:after="110" w:before="260" w:line="288"/>
      </w:pPr>
      <w:r>
        <w:rPr>
          <w:rFonts w:ascii="Poppins" w:cs="Poppins" w:eastAsia="Poppins" w:hAnsi="Poppins"/>
          <w:b/>
          <w:bCs/>
          <w:color w:val="1B3C6E"/>
          <w:sz w:val="23"/>
          <w:szCs w:val="23"/>
        </w:rPr>
        <w:t xml:space="preserve">4.1 Column headers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019"/>
        <w:gridCol w:w="3926"/>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9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Machine</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Máquina</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Capacity</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Capacidad</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Cuántas hay</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Feminine — lavadoras and secadoras are both feminine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fits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qué alcanza</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“Qué cabe” — see §4.2</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Washers (caption)</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Lavadoras</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Dryers (caption)</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Secadoras</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cycle</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Ciclo de lavado</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Column only if verified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“Cuántas hay” rather than a bare “Cantidad” — the phrasing is how someone would actually ask, and it makes the column self-explanatory in a table where every other header is a single noun.</w:t>
      </w:r>
    </w:p>
    <w:p>
      <w:pPr>
        <w:keepNext/>
        <w:spacing w:after="110" w:before="260" w:line="288"/>
      </w:pPr>
      <w:r>
        <w:rPr>
          <w:rFonts w:ascii="Poppins" w:cs="Poppins" w:eastAsia="Poppins" w:hAnsi="Poppins"/>
          <w:b/>
          <w:bCs/>
          <w:color w:val="1B3C6E"/>
          <w:sz w:val="23"/>
          <w:szCs w:val="23"/>
        </w:rPr>
        <w:t xml:space="preserve">4.2 The hardest column — “What it fits”</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THIS COLUMN CANNOT BE TRANSLATED, ONLY RE-AUTHORED</w:t>
            </w:r>
          </w:p>
          <w:p>
            <w:pPr>
              <w:spacing w:after="0" w:line="258"/>
            </w:pPr>
            <w:r>
              <w:rPr>
                <w:rFonts w:ascii="Arial" w:cs="Arial" w:eastAsia="Arial" w:hAnsi="Arial"/>
                <w:b/>
                <w:bCs/>
                <w:i w:val="false"/>
                <w:iCs w:val="false"/>
                <w:caps w:val="false"/>
                <w:color w:val="2B3646"/>
                <w:sz w:val="18"/>
                <w:szCs w:val="18"/>
              </w:rPr>
              <w:t xml:space="preserve">Every other cell in The Board is a number or a noun and survives translation intact. This column is the owner describing his machines in his own words to a customer standing in front of him. </w:t>
            </w:r>
            <w:r>
              <w:rPr>
                <w:rFonts w:ascii="Arial" w:cs="Arial" w:eastAsia="Arial" w:hAnsi="Arial"/>
                <w:b w:val="false"/>
                <w:bCs w:val="false"/>
                <w:i w:val="false"/>
                <w:iCs w:val="false"/>
                <w:caps w:val="false"/>
                <w:color w:val="2B3646"/>
                <w:sz w:val="18"/>
                <w:szCs w:val="18"/>
              </w:rPr>
              <w:t xml:space="preserve">Translating “a week of laundry for a family of four” produces something technically correct and completely lifeless. The Spanish version has to be written the way the same sentence would be said in Spanish — which is a different sentence, not the same one converted.</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919"/>
        <w:gridCol w:w="3019"/>
        <w:gridCol w:w="3422"/>
      </w:tblGrid>
      <w:tr>
        <w:trPr>
          <w:cantSplit/>
          <w:tblHeader/>
        </w:trPr>
        <w:tc>
          <w:tcPr>
            <w:tcW w:type="dxa" w:w="29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 (illustrative)</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re-authored</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changed</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week of laundry for a family of four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 ropa de toda la semana para una familia</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Drops the count; Spanish carries “toda la semana” more naturally</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king comforter</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 edredón king size</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“King size” stays in English — that is the term used</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 full loads at once</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Dos cargas de una sola vez</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 una sola vez” is warmer than “simultáneamente”</w:t>
            </w:r>
          </w:p>
        </w:tc>
      </w:tr>
      <w:tr>
        <w:trPr>
          <w:cantSplit/>
          <w:tblHeader w:val="false"/>
        </w:trPr>
        <w:tc>
          <w:tcPr>
            <w:tcW w:type="dxa" w:w="29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bags and pet bedding</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Bolsas de dormir y camas de mascota</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9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Everyday clothes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Ropa de diario</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“ropa cotidiana,” which reads formal</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ILLUSTRATIONS ABOVE ARE PLACEHOLDERS</w:t>
            </w:r>
          </w:p>
          <w:p>
            <w:pPr>
              <w:spacing w:after="0" w:line="258"/>
            </w:pPr>
            <w:r>
              <w:rPr>
                <w:rFonts w:ascii="Arial" w:cs="Arial" w:eastAsia="Arial" w:hAnsi="Arial"/>
                <w:b/>
                <w:bCs/>
                <w:i w:val="false"/>
                <w:iCs w:val="false"/>
                <w:caps w:val="false"/>
                <w:color w:val="2B3646"/>
                <w:sz w:val="18"/>
                <w:szCs w:val="18"/>
              </w:rPr>
              <w:t xml:space="preserve">The real descriptions come from the intake sheet in the developer guide §3, in the owner’s words. </w:t>
            </w:r>
            <w:r>
              <w:rPr>
                <w:rFonts w:ascii="Arial" w:cs="Arial" w:eastAsia="Arial" w:hAnsi="Arial"/>
                <w:b w:val="false"/>
                <w:bCs w:val="false"/>
                <w:i w:val="false"/>
                <w:iCs w:val="false"/>
                <w:caps w:val="false"/>
                <w:color w:val="2B3646"/>
                <w:sz w:val="18"/>
                <w:szCs w:val="18"/>
              </w:rPr>
              <w:t xml:space="preserve">They are then re-authored into Spanish by a native speaker who has read the English. Until the intake sheet returns, this column is blocked in both languages.</w:t>
            </w:r>
          </w:p>
        </w:tc>
      </w:tr>
    </w:tbl>
    <w:p>
      <w:pPr>
        <w:keepNext/>
        <w:spacing w:after="110" w:before="260" w:line="288"/>
      </w:pPr>
      <w:r>
        <w:rPr>
          <w:rFonts w:ascii="Poppins" w:cs="Poppins" w:eastAsia="Poppins" w:hAnsi="Poppins"/>
          <w:b/>
          <w:bCs/>
          <w:color w:val="1B3C6E"/>
          <w:sz w:val="23"/>
          <w:szCs w:val="23"/>
        </w:rPr>
        <w:t xml:space="preserve">4.3 The mobile stack in Spanish</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Lavadora de 40 lb</w:t>
            </w:r>
          </w:p>
          <w:p>
            <w:pPr>
              <w:spacing w:after="0" w:line="236"/>
            </w:pPr>
            <w:r>
              <w:rPr>
                <w:rFonts w:ascii="Consolas" w:cs="Consolas" w:eastAsia="Consolas" w:hAnsi="Consolas"/>
                <w:color w:val="10233F"/>
                <w:sz w:val="16"/>
                <w:szCs w:val="16"/>
              </w:rPr>
              <w:t xml:space="preserve">  Capacidad         Dos cargas o un edredón king size</w:t>
            </w:r>
          </w:p>
          <w:p>
            <w:pPr>
              <w:spacing w:after="0" w:line="236"/>
            </w:pPr>
            <w:r>
              <w:rPr>
                <w:rFonts w:ascii="Consolas" w:cs="Consolas" w:eastAsia="Consolas" w:hAnsi="Consolas"/>
                <w:color w:val="10233F"/>
                <w:sz w:val="16"/>
                <w:szCs w:val="16"/>
              </w:rPr>
              <w:t xml:space="preserve">  Cuántas hay       {{COUNT}}</w:t>
            </w:r>
          </w:p>
          <w:p>
            <w:pPr>
              <w:spacing w:after="0" w:line="236"/>
            </w:pPr>
            <w:r>
              <w:rPr>
                <w:rFonts w:ascii="Consolas" w:cs="Consolas" w:eastAsia="Consolas" w:hAnsi="Consolas"/>
                <w:color w:val="10233F"/>
                <w:sz w:val="16"/>
                <w:szCs w:val="16"/>
              </w:rPr>
              <w:t xml:space="preserve">  Precio            {{PRICE}}</w:t>
            </w:r>
          </w:p>
          <w:p>
            <w:pPr>
              <w:spacing w:after="0" w:line="236"/>
            </w:pPr>
            <w:r>
              <w:rPr>
                <w:rFonts w:ascii="Consolas" w:cs="Consolas" w:eastAsia="Consolas" w:hAnsi="Consolas"/>
                <w:color w:val="10233F"/>
                <w:sz w:val="16"/>
                <w:szCs w:val="16"/>
              </w:rPr>
              <w:t xml:space="preserve">  Para qué alcanza  La ropa de toda la semana para una familia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Machine names in the stacked view read “Lavadora de 40 lb,” not “40 lb lavadora” — Spanish puts the measure after the noun. This matters because the tier label is generated from data rather than written by hand, so the template has to differ between locales.</w:t>
      </w:r>
    </w:p>
    <w:p>
      <w:pPr>
        <w:keepNext/>
        <w:pBdr>
          <w:bottom w:val="single" w:color="E8751A" w:sz="14" w:space="8"/>
        </w:pBdr>
        <w:spacing w:after="150" w:before="300" w:line="300"/>
      </w:pPr>
      <w:r>
        <w:rPr>
          <w:rFonts w:ascii="Poppins" w:cs="Poppins" w:eastAsia="Poppins" w:hAnsi="Poppins"/>
          <w:b/>
          <w:bCs/>
          <w:color w:val="1B3C6E"/>
          <w:sz w:val="30"/>
          <w:szCs w:val="30"/>
        </w:rPr>
        <w:t xml:space="preserve">5. The Page, Restated Block by Block</w:t>
      </w:r>
    </w:p>
    <w:p>
      <w:pPr>
        <w:keepNext/>
        <w:spacing w:after="110" w:before="260" w:line="288"/>
      </w:pPr>
      <w:r>
        <w:rPr>
          <w:rFonts w:ascii="Poppins" w:cs="Poppins" w:eastAsia="Poppins" w:hAnsi="Poppins"/>
          <w:b/>
          <w:bCs/>
          <w:color w:val="1B3C6E"/>
          <w:sz w:val="23"/>
          <w:szCs w:val="23"/>
        </w:rPr>
        <w:t xml:space="preserve">5.1 Hero</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Todos nuestros precios, publicados</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Lede: Esto es lo que cuesta todo en Laundry Station, en el 6043 W</w:t>
            </w:r>
          </w:p>
          <w:p>
            <w:pPr>
              <w:spacing w:after="0" w:line="236"/>
            </w:pPr>
            <w:r>
              <w:rPr>
                <w:rFonts w:ascii="Consolas" w:cs="Consolas" w:eastAsia="Consolas" w:hAnsi="Consolas"/>
                <w:color w:val="10233F"/>
                <w:sz w:val="16"/>
                <w:szCs w:val="16"/>
              </w:rPr>
              <w:t xml:space="preserve">      Addison St — cada lavadora y secadora, el lavado y doblado por</w:t>
            </w:r>
          </w:p>
          <w:p>
            <w:pPr>
              <w:spacing w:after="0" w:line="236"/>
            </w:pPr>
            <w:r>
              <w:rPr>
                <w:rFonts w:ascii="Consolas" w:cs="Consolas" w:eastAsia="Consolas" w:hAnsi="Consolas"/>
                <w:color w:val="10233F"/>
                <w:sz w:val="16"/>
                <w:szCs w:val="16"/>
              </w:rPr>
              <w:t xml:space="preserve">      libra, la recolección y entrega, y los artículos del hogar.</w:t>
            </w:r>
          </w:p>
          <w:p>
            <w:pPr>
              <w:spacing w:after="0" w:line="236"/>
            </w:pPr>
            <w:r>
              <w:rPr>
                <w:rFonts w:ascii="Consolas" w:cs="Consolas" w:eastAsia="Consolas" w:hAnsi="Consolas"/>
                <w:color w:val="10233F"/>
                <w:sz w:val="16"/>
                <w:szCs w:val="16"/>
              </w:rPr>
              <w:t xml:space="preserve">      Sin sorpresas cuando llegues.</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“Sin sorpresas cuando llegues” carries the tú register and lands the same promise as the English closing clause. Note it is the only second-person verb in the hero.</w:t>
      </w:r>
    </w:p>
    <w:p>
      <w:pPr>
        <w:keepNext/>
        <w:spacing w:after="110" w:before="260" w:line="288"/>
      </w:pPr>
      <w:r>
        <w:rPr>
          <w:rFonts w:ascii="Poppins" w:cs="Poppins" w:eastAsia="Poppins" w:hAnsi="Poppins"/>
          <w:b/>
          <w:bCs/>
          <w:color w:val="1B3C6E"/>
          <w:sz w:val="23"/>
          <w:szCs w:val="23"/>
        </w:rPr>
        <w:t xml:space="preserve">5.2 Wash &amp; Fold and Delivery rates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623"/>
        <w:gridCol w:w="2415"/>
        <w:gridCol w:w="3322"/>
      </w:tblGrid>
      <w:tr>
        <w:trPr>
          <w:cantSplit/>
          <w:tblHeader/>
        </w:trPr>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Concepto</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Valor</w:t>
            </w:r>
          </w:p>
        </w:tc>
        <w:tc>
          <w:tcPr>
            <w:tcW w:type="dxa" w:w="33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Estado</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$1.50</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Mínimo</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 lb</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Tiempo de entrega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 día siguiente</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Servicio el mismo día</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{{RUSH_PRICE}}</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BLOCKED</w:t>
            </w:r>
          </w:p>
        </w:tc>
      </w:tr>
      <w:tr>
        <w:trPr>
          <w:cantSplit/>
          <w:tblHeader w:val="false"/>
        </w:trPr>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Recolección y entrega, por libra</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$2.00</w:t>
            </w:r>
          </w:p>
        </w:tc>
        <w:tc>
          <w:tcPr>
            <w:tcW w:type="dxa" w:w="332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r>
        <w:trPr>
          <w:cantSplit/>
          <w:tblHeader w:val="false"/>
        </w:trPr>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Costo de recolección</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$5.00</w:t>
            </w:r>
          </w:p>
        </w:tc>
        <w:tc>
          <w:tcPr>
            <w:tcW w:type="dxa" w:w="332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26A00"/>
                <w:sz w:val="18"/>
                <w:szCs w:val="18"/>
              </w:rPr>
              <w:t xml:space="preserve">PROVISIONAL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worked example beneath the wash &amp; fold table, in Spanish: “Una bolsa normal pesa entre 12 y 18 libras, así que la mayoría de los pedidos salen entre {{EXAMPLE_LOW}} y {{EXAMPLE_HIGH}}.” This sentence is the most useful one on the page for a first-time customer in either language.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delivery explanation sentence: “La entrega cuesta un poco más por libra e incluye un costo de recolección — eso cubre el tiempo y la gasolina del chofer.” Explaining the difference plainly is more persuasive than omitting it.</w:t>
      </w:r>
    </w:p>
    <w:p>
      <w:pPr>
        <w:keepNext/>
        <w:spacing w:after="110" w:before="260" w:line="288"/>
      </w:pPr>
      <w:r>
        <w:rPr>
          <w:rFonts w:ascii="Poppins" w:cs="Poppins" w:eastAsia="Poppins" w:hAnsi="Poppins"/>
          <w:b/>
          <w:bCs/>
          <w:color w:val="1B3C6E"/>
          <w:sz w:val="23"/>
          <w:szCs w:val="23"/>
        </w:rPr>
        <w:t xml:space="preserve">5.3 Oversized &amp; household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 item</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Comforter (by size)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 (por tamaño)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Duvet / duvet cover</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Edredón nórdico / funda de edredón</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 (by size)</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 (por tamaño)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Sleeping bag</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Bolsa de dormir</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Pillow</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Almohada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pad</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Protector de colchón</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Pet bedding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Cama de mascota</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Blanket</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Cobija</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“Cobija” rather than “manta” for blanket — cobija is standard Mexican usage and this catchment is predominantly Mexican. “Tapete” rather than “alfombra” for an area rug, since alfombra suggests fitted carpet, which the store does not wash. Prices for every row are BLOCKED in both languages.</w:t>
      </w:r>
    </w:p>
    <w:p>
      <w:pPr>
        <w:keepNext/>
        <w:spacing w:after="110" w:before="260" w:line="288"/>
      </w:pPr>
      <w:r>
        <w:rPr>
          <w:rFonts w:ascii="Poppins" w:cs="Poppins" w:eastAsia="Poppins" w:hAnsi="Poppins"/>
          <w:b/>
          <w:bCs/>
          <w:color w:val="1B3C6E"/>
          <w:sz w:val="23"/>
          <w:szCs w:val="23"/>
        </w:rPr>
        <w:t xml:space="preserve">5.4 Ironing, payment and routing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428"/>
        <w:gridCol w:w="4932"/>
      </w:tblGrid>
      <w:tr>
        <w:trPr>
          <w:cantSplit/>
          <w:tblHeader/>
        </w:trPr>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Planchado</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Shirt</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Camisa</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Trousers / pants</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Pantalón</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Suit (2-piece)</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Traje (dos piezas)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Uniforme</w:t>
            </w:r>
          </w:p>
        </w:tc>
      </w:tr>
      <w:tr>
        <w:trPr>
          <w:cantSplit/>
          <w:tblHeader w:val="false"/>
        </w:trPr>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Linens</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Blancos</w:t>
            </w:r>
          </w:p>
        </w:tc>
      </w:tr>
      <w:tr>
        <w:trPr>
          <w:cantSplit/>
          <w:tblHeader w:val="false"/>
        </w:trPr>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to pay</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Formas de pago</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“Blancos” is the standard term for household linens in Mexican Spanish and is what a customer will recognise on a price list; “ropa blanca” and “lencería” both read wrong here.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LA REGLA DE EBT / LINK, EN ESPAÑOL</w:t>
            </w:r>
          </w:p>
          <w:p>
            <w:pPr>
              <w:spacing w:after="0" w:line="258"/>
            </w:pPr>
            <w:r>
              <w:rPr>
                <w:rFonts w:ascii="Arial" w:cs="Arial" w:eastAsia="Arial" w:hAnsi="Arial"/>
                <w:b/>
                <w:bCs/>
                <w:i w:val="false"/>
                <w:iCs w:val="false"/>
                <w:caps w:val="false"/>
                <w:color w:val="2B3646"/>
                <w:sz w:val="18"/>
                <w:szCs w:val="18"/>
              </w:rPr>
              <w:t xml:space="preserve">Los beneficios de SNAP no pueden pagar lavandería; la tarjeta LINK de Illinois sí puede cuando lleva asistencia en efectivo. </w:t>
            </w:r>
            <w:r>
              <w:rPr>
                <w:rFonts w:ascii="Arial" w:cs="Arial" w:eastAsia="Arial" w:hAnsi="Arial"/>
                <w:b w:val="false"/>
                <w:bCs w:val="false"/>
                <w:i w:val="false"/>
                <w:iCs w:val="false"/>
                <w:caps w:val="false"/>
                <w:color w:val="2B3646"/>
                <w:sz w:val="18"/>
                <w:szCs w:val="18"/>
              </w:rPr>
              <w:t xml:space="preserve">Cada forma de pago lleva su propia etiqueta con las palabras exactas que confirme el dueño. No se traduce del inglés ni se copia del sitio hermano, donde ese defecto está publicado. Si la redacción correcta no cabe en una etiqueta, el bloque se escribe como una línea de texto — la exactitud manda sobre el componente.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Routing links use the locked service names: Lavado y doblado · Recolección y entrega · Autoservicio · Artículos grandes y del hogar · Planchado.</w:t>
      </w:r>
    </w:p>
    <w:p>
      <w:pPr>
        <w:keepNext/>
        <w:pBdr>
          <w:bottom w:val="single" w:color="E8751A" w:sz="14" w:space="8"/>
        </w:pBdr>
        <w:spacing w:after="150" w:before="300" w:line="300"/>
      </w:pPr>
      <w:r>
        <w:rPr>
          <w:rFonts w:ascii="Poppins" w:cs="Poppins" w:eastAsia="Poppins" w:hAnsi="Poppins"/>
          <w:b/>
          <w:bCs/>
          <w:color w:val="1B3C6E"/>
          <w:sz w:val="30"/>
          <w:szCs w:val="30"/>
        </w:rPr>
        <w:t xml:space="preserve">6. Head, Schema and Locale Wiring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&lt;html lang="es"&gt;</w:t>
            </w:r>
          </w:p>
          <w:p>
            <w:pPr>
              <w:spacing w:after="0" w:line="236"/>
            </w:pPr>
            <w:r>
              <w:rPr>
                <w:rFonts w:ascii="Consolas" w:cs="Consolas" w:eastAsia="Consolas" w:hAnsi="Consolas"/>
                <w:color w:val="10233F"/>
                <w:sz w:val="16"/>
                <w:szCs w:val="16"/>
              </w:rPr>
              <w:t xml:space="preserve">&lt;title&gt;Precios de lavandería en Chicago 60634 | Laundry Station&lt;/title&gt;</w:t>
            </w:r>
          </w:p>
          <w:p>
            <w:pPr>
              <w:spacing w:after="0" w:line="236"/>
            </w:pPr>
            <w:r>
              <w:rPr>
                <w:rFonts w:ascii="Consolas" w:cs="Consolas" w:eastAsia="Consolas" w:hAnsi="Consolas"/>
                <w:color w:val="10233F"/>
                <w:sz w:val="16"/>
                <w:szCs w:val="16"/>
              </w:rPr>
              <w:t xml:space="preserve">&lt;meta name="description" content="Todos los precios de Laundry Station,</w:t>
            </w:r>
          </w:p>
          <w:p>
            <w:pPr>
              <w:spacing w:after="0" w:line="236"/>
            </w:pPr>
            <w:r>
              <w:rPr>
                <w:rFonts w:ascii="Consolas" w:cs="Consolas" w:eastAsia="Consolas" w:hAnsi="Consolas"/>
                <w:color w:val="10233F"/>
                <w:sz w:val="16"/>
                <w:szCs w:val="16"/>
              </w:rPr>
              <w:t xml:space="preserve">  6043 W Addison St — lavadoras y secadoras por tamaño, lavado y</w:t>
            </w:r>
          </w:p>
          <w:p>
            <w:pPr>
              <w:spacing w:after="0" w:line="236"/>
            </w:pPr>
            <w:r>
              <w:rPr>
                <w:rFonts w:ascii="Consolas" w:cs="Consolas" w:eastAsia="Consolas" w:hAnsi="Consolas"/>
                <w:color w:val="10233F"/>
                <w:sz w:val="16"/>
                <w:szCs w:val="16"/>
              </w:rPr>
              <w:t xml:space="preserve">  doblado por libra, recolección y entrega, y artículos del hogar.</w:t>
            </w:r>
          </w:p>
          <w:p>
            <w:pPr>
              <w:spacing w:after="0" w:line="236"/>
            </w:pPr>
            <w:r>
              <w:rPr>
                <w:rFonts w:ascii="Consolas" w:cs="Consolas" w:eastAsia="Consolas" w:hAnsi="Consolas"/>
                <w:color w:val="10233F"/>
                <w:sz w:val="16"/>
                <w:szCs w:val="16"/>
              </w:rPr>
              <w:t xml:space="preserve">  Publicados antes de que llegues."&gt;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href="https://{{DOMAIN}}/es/precios/"&gt;</w:t>
            </w:r>
          </w:p>
          <w:p>
            <w:pPr>
              <w:spacing w:after="0" w:line="236"/>
            </w:pPr>
            <w:r>
              <w:rPr>
                <w:rFonts w:ascii="Consolas" w:cs="Consolas" w:eastAsia="Consolas" w:hAnsi="Consolas"/>
                <w:color w:val="10233F"/>
                <w:sz w:val="16"/>
                <w:szCs w:val="16"/>
              </w:rPr>
              <w:t xml:space="preserve">&lt;link rel="alternate" hreflang="es" href="https://{{DOMAIN}}/es/precios/"&gt;</w:t>
            </w:r>
          </w:p>
          <w:p>
            <w:pPr>
              <w:spacing w:after="0" w:line="236"/>
            </w:pPr>
            <w:r>
              <w:rPr>
                <w:rFonts w:ascii="Consolas" w:cs="Consolas" w:eastAsia="Consolas" w:hAnsi="Consolas"/>
                <w:color w:val="10233F"/>
                <w:sz w:val="16"/>
                <w:szCs w:val="16"/>
              </w:rPr>
              <w:t xml:space="preserve">&lt;link rel="alternate" hreflang="en" href="https://{{DOMAIN}}/pricing/"&gt;</w:t>
            </w:r>
          </w:p>
          <w:p>
            <w:pPr>
              <w:spacing w:after="0" w:line="236"/>
            </w:pPr>
            <w:r>
              <w:rPr>
                <w:rFonts w:ascii="Consolas" w:cs="Consolas" w:eastAsia="Consolas" w:hAnsi="Consolas"/>
                <w:color w:val="10233F"/>
                <w:sz w:val="16"/>
                <w:szCs w:val="16"/>
              </w:rPr>
              <w:t xml:space="preserve">&lt;link rel="alternate" hreflang="x-default" href="https://{{DOMAIN}}/pricing/"&gt;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Schema deltas */</w:t>
            </w:r>
          </w:p>
          <w:p>
            <w:pPr>
              <w:spacing w:after="0" w:line="236"/>
            </w:pPr>
            <w:r>
              <w:rPr>
                <w:rFonts w:ascii="Consolas" w:cs="Consolas" w:eastAsia="Consolas" w:hAnsi="Consolas"/>
                <w:color w:val="10233F"/>
                <w:sz w:val="16"/>
                <w:szCs w:val="16"/>
              </w:rPr>
              <w:t xml:space="preserve">  WebPage.inLanguage = "es"</w:t>
            </w:r>
          </w:p>
          <w:p>
            <w:pPr>
              <w:spacing w:after="0" w:line="236"/>
            </w:pPr>
            <w:r>
              <w:rPr>
                <w:rFonts w:ascii="Consolas" w:cs="Consolas" w:eastAsia="Consolas" w:hAnsi="Consolas"/>
                <w:color w:val="10233F"/>
                <w:sz w:val="16"/>
                <w:szCs w:val="16"/>
              </w:rPr>
              <w:t xml:space="preserve">  BreadcrumbList     = Inicio &gt; Precios</w:t>
            </w:r>
          </w:p>
          <w:p>
            <w:pPr>
              <w:spacing w:after="0" w:line="236"/>
            </w:pPr>
            <w:r>
              <w:rPr>
                <w:rFonts w:ascii="Consolas" w:cs="Consolas" w:eastAsia="Consolas" w:hAnsi="Consolas"/>
                <w:color w:val="10233F"/>
                <w:sz w:val="16"/>
                <w:szCs w:val="16"/>
              </w:rPr>
              <w:t xml:space="preserve">  Offer              = only on confirmed fixed prices, same rule as EN</w:t>
            </w:r>
          </w:p>
          <w:p>
            <w:pPr>
              <w:spacing w:after="0" w:line="236"/>
            </w:pPr>
            <w:r>
              <w:rPr>
                <w:rFonts w:ascii="Consolas" w:cs="Consolas" w:eastAsia="Consolas" w:hAnsi="Consolas"/>
                <w:color w:val="10233F"/>
                <w:sz w:val="16"/>
                <w:szCs w:val="16"/>
              </w:rPr>
              <w:t xml:space="preserve">  /* no FAQPage on this page in either locale */</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DESCRIPTION AVOIDS THE SAME WORD IN BOTH LANGUAGES</w:t>
            </w:r>
          </w:p>
          <w:p>
            <w:pPr>
              <w:spacing w:after="0" w:line="258"/>
            </w:pPr>
            <w:r>
              <w:rPr>
                <w:rFonts w:ascii="Arial" w:cs="Arial" w:eastAsia="Arial" w:hAnsi="Arial"/>
                <w:b w:val="false"/>
                <w:bCs w:val="false"/>
                <w:i w:val="false"/>
                <w:iCs w:val="false"/>
                <w:caps w:val="false"/>
                <w:color w:val="2B3646"/>
                <w:sz w:val="18"/>
                <w:szCs w:val="18"/>
              </w:rPr>
              <w:t xml:space="preserve">No “económico,” “barato,” “los mejores precios” or “precios bajos.” The claim is that prices are visible, not that they are low — and Spanish marketing copy drifts toward “económico” even more readily than English drifts toward “affordable.”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7. Pricing Terminology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3019"/>
        <w:gridCol w:w="3926"/>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 — locked</w:t>
            </w:r>
          </w:p>
        </w:tc>
        <w:tc>
          <w:tcPr>
            <w:tcW w:type="dxa" w:w="39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Precios</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Posted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Publicados</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“fijos” — that claims prices never change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Feminine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Dryer</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Secadora</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Feminine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Carga</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 pound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Por libra</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Pounds throughout — never kilos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Minimum</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Mínimo</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Tiempo de entrega</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Same-day</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 mismo día</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Start price</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Precio desde</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where a start price genuinely applies</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Household items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Artículos del hogar</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Linens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Blancos</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Mexican usage; not “ropa blanca”</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Blanket</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Cobija</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Mexican usage; not “manta”</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Area rug</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Tapete</w:t>
            </w:r>
          </w:p>
        </w:tc>
        <w:tc>
          <w:tcPr>
            <w:tcW w:type="dxa" w:w="39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 “alfombra” — that is fitted carpet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Forms of payment</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Formas de pago</w:t>
            </w:r>
          </w:p>
        </w:tc>
        <w:tc>
          <w:tcPr>
            <w:tcW w:type="dxa" w:w="39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Layout Tolerance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1912"/>
        <w:gridCol w:w="2315"/>
        <w:gridCol w:w="1107"/>
        <w:gridCol w:w="2315"/>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English</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Spanish</w:t>
            </w:r>
          </w:p>
        </w:tc>
        <w:tc>
          <w:tcPr>
            <w:tcW w:type="dxa" w:w="110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Expansion</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Risk</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 header</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fits</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qué alcanza</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+42%</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widest header</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Board header</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many</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Cuántas hay</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+33%</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 — narrow column</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label</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Capacity</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Capacidad</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+22%</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Low</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 label</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Tiempo de entrega</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+70%</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 — two-column table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Item name</w:t>
            </w:r>
          </w:p>
        </w:tc>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Mattress pad</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Protector de colchón</w:t>
            </w:r>
          </w:p>
        </w:tc>
        <w:tc>
          <w:tcPr>
            <w:tcW w:type="dxa" w:w="110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+58%</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Medium</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Caption</w:t>
            </w:r>
          </w:p>
        </w:tc>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Washers</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Lavadoras</w:t>
            </w:r>
          </w:p>
        </w:tc>
        <w:tc>
          <w:tcPr>
            <w:tcW w:type="dxa" w:w="110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+29%</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None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COLUMN-WIDTH CONSEQUENCE</w:t>
            </w:r>
          </w:p>
          <w:p>
            <w:pPr>
              <w:spacing w:after="0" w:line="258"/>
            </w:pPr>
            <w:r>
              <w:rPr>
                <w:rFonts w:ascii="Arial" w:cs="Arial" w:eastAsia="Arial" w:hAnsi="Arial"/>
                <w:b/>
                <w:bCs/>
                <w:i w:val="false"/>
                <w:iCs w:val="false"/>
                <w:caps w:val="false"/>
                <w:color w:val="2B3646"/>
                <w:sz w:val="18"/>
                <w:szCs w:val="18"/>
              </w:rPr>
              <w:t xml:space="preserve">The English column widths in the Design Guide §3.1 must hold with Spanish headers. </w:t>
            </w:r>
            <w:r>
              <w:rPr>
                <w:rFonts w:ascii="Arial" w:cs="Arial" w:eastAsia="Arial" w:hAnsi="Arial"/>
                <w:b w:val="false"/>
                <w:bCs w:val="false"/>
                <w:i w:val="false"/>
                <w:iCs w:val="false"/>
                <w:caps w:val="false"/>
                <w:color w:val="2B3646"/>
                <w:sz w:val="18"/>
                <w:szCs w:val="18"/>
              </w:rPr>
              <w:t xml:space="preserve">“Para qué alcanza” in a 40% column is comfortable; “Cuántas hay” in a 12% column is tight and may wrap the header to two lines. A wrapped header is acceptable; a truncated one is not. If it wraps, both locales get the taller header row so the two pages stay visually identical.</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Review &amp; Sign-off</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Register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Tú throughout — check the six second-person sentences specifically (§1)</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Re-authored column</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“Para qué alcanza” written in Spanish from the owner’s intent, not translated (§4.2)</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Regional usage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Cobija, tapete, blancos, edredón verified against Mexican-Chicago usage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Units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Pounds everywhere — no kilo conversions anywhere on the page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Fact parity</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price, minimum and turnaround identical to the English page and identically marked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Compliance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labels written from the confirmed facts, not translated or inherited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inLanguage es; Offer only where the English page carries one; no FAQPage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320px Spanish screenshot — stacked Board legible, headers wrap rather than truncate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Length</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Stacked Board in Spanish is the longest block on the site — confirm it stays navigable</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THIRD PAGE INTO THE SPANISH PACK</w:t>
            </w:r>
          </w:p>
          <w:p>
            <w:pPr>
              <w:spacing w:after="0" w:line="258"/>
            </w:pPr>
            <w:r>
              <w:rPr>
                <w:rFonts w:ascii="Arial" w:cs="Arial" w:eastAsia="Arial" w:hAnsi="Arial"/>
                <w:b w:val="false"/>
                <w:bCs w:val="false"/>
                <w:i w:val="false"/>
                <w:iCs w:val="false"/>
                <w:caps w:val="false"/>
                <w:color w:val="2B3646"/>
                <w:sz w:val="18"/>
                <w:szCs w:val="18"/>
              </w:rPr>
              <w:t xml:space="preserve">Pickup &amp; Delivery, Commercial, and now Pricing. The terminology registers from all three are cumulative — a term locked on an earlier page is not re-decided here, and any conflict is resolved in favour of the earliest lock so the whole site reads consistently.</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Pricing / The Board Spanish Restatement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Pricing / The Board Spanish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Pricing / The Board Spanish Guide v1.0</dc:title>
  <dc:creator>TradeWorks AI</dc:creator>
  <dc:description>Laundry Station — Website Content Strategy &amp; Plan v1.0</dc:description>
  <cp:lastModifiedBy>Un-named</cp:lastModifiedBy>
  <cp:revision>1</cp:revision>
  <dcterms:created xsi:type="dcterms:W3CDTF">2026-07-29T20:24:31.937Z</dcterms:created>
  <dcterms:modified xsi:type="dcterms:W3CDTF">2026-07-29T20:24:31.937Z</dcterms:modified>
</cp:coreProperties>
</file>

<file path=docProps/custom.xml><?xml version="1.0" encoding="utf-8"?>
<Properties xmlns="http://schemas.openxmlformats.org/officeDocument/2006/custom-properties" xmlns:vt="http://schemas.openxmlformats.org/officeDocument/2006/docPropsVTypes"/>
</file>