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Self-Service</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Board’s second home — same component, different job, one new problem.</w:t>
      </w:r>
    </w:p>
    <w:p>
      <w:pPr>
        <w:spacing w:after="60" w:line="288"/>
      </w:pPr>
      <w:r>
        <w:rPr>
          <w:rFonts w:ascii="Arial" w:cs="Arial" w:eastAsia="Arial" w:hAnsi="Arial"/>
          <w:color w:val="6A7686"/>
          <w:sz w:val="20"/>
          <w:szCs w:val="20"/>
        </w:rPr>
        <w:t xml:space="preserve">/services/self-service/  ·  Laundry Station  ·  Hero variant B</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Self-Service Developer Guide v1.0 · Self-Service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New problem</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Dryers priced per minute in a column headed Price (§3.2)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Photography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page that finally earns shot 1 (§5)</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wireframe at 320 / 375 / 900 / 1400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Second Home of the Board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Board on a Service Page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3.1 What differs from /pricing/</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3.2 The dryer unit problem</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Rendering assumed values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Block-by-Block Craft Spec</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4.1 Hero and “why here”</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4.2 The machine chooser</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4.3 Payment chips and amenities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Photography — the Page That Earns Shot 1</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Responsive Behaviour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Second Home of the Board</w:t>
      </w:r>
    </w:p>
    <w:p>
      <w:pPr>
        <w:keepNext w:val="false"/>
        <w:spacing w:after="120" w:before="0" w:line="264"/>
      </w:pPr>
      <w:r>
        <w:rPr>
          <w:rFonts w:ascii="Arial" w:cs="Arial" w:eastAsia="Arial" w:hAnsi="Arial"/>
          <w:b/>
          <w:bCs/>
          <w:i w:val="false"/>
          <w:iCs w:val="false"/>
          <w:caps w:val="false"/>
          <w:color w:val="1B3C6E"/>
          <w:sz w:val="20"/>
          <w:szCs w:val="20"/>
        </w:rPr>
        <w:t xml:space="preserve">The Board appears in full on two pages, and it is doing a different job on each. </w:t>
      </w:r>
      <w:r>
        <w:rPr>
          <w:rFonts w:ascii="Arial" w:cs="Arial" w:eastAsia="Arial" w:hAnsi="Arial"/>
          <w:b w:val="false"/>
          <w:bCs w:val="false"/>
          <w:i w:val="false"/>
          <w:iCs w:val="false"/>
          <w:caps w:val="false"/>
          <w:color w:val="2B3646"/>
          <w:sz w:val="20"/>
          <w:szCs w:val="20"/>
        </w:rPr>
        <w:t xml:space="preserve">On /pricing/ it is a reference — someone looking up a number among six tables. Here it is an argument — the evidence that the equipment exists, in quantity, in working order. Same component, same data file, same markup; different surrounding context and a different reason to be there.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On /pricing/</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On this page</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of six tables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centrepiece — nothing else competes</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Consulted for a figure</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Read as proof</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headers matter — long scroll among tables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headers matter less — it is the only table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decision aid</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Followed immediately by the machine chooser</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Surrounded by other prices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Surrounded by reasons to trust it</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DUPLICATION IS DELIBERATE AND MUST NOT BE DESIGNED AWAY</w:t>
            </w:r>
          </w:p>
          <w:p>
            <w:pPr>
              <w:spacing w:after="0" w:line="258"/>
            </w:pPr>
            <w:r>
              <w:rPr>
                <w:rFonts w:ascii="Arial" w:cs="Arial" w:eastAsia="Arial" w:hAnsi="Arial"/>
                <w:b/>
                <w:bCs/>
                <w:i w:val="false"/>
                <w:iCs w:val="false"/>
                <w:caps w:val="false"/>
                <w:color w:val="2B3646"/>
                <w:sz w:val="18"/>
                <w:szCs w:val="18"/>
              </w:rPr>
              <w:t xml:space="preserve">The instinct is to show a preview here and link to /pricing/ for the full table. </w:t>
            </w:r>
            <w:r>
              <w:rPr>
                <w:rFonts w:ascii="Arial" w:cs="Arial" w:eastAsia="Arial" w:hAnsi="Arial"/>
                <w:b w:val="false"/>
                <w:bCs w:val="false"/>
                <w:i w:val="false"/>
                <w:iCs w:val="false"/>
                <w:caps w:val="false"/>
                <w:color w:val="2B3646"/>
                <w:sz w:val="18"/>
                <w:szCs w:val="18"/>
              </w:rPr>
              <w:t xml:space="preserve">That would be correct if the Board were only a price list. It is not — on this page it is the argument for the whole service, and a truncated argument is a weak one. Both pages carry it in full, rendered from one file, and the redundancy is the point.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415"/>
        <w:gridCol w:w="1912"/>
        <w:gridCol w:w="45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5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B)</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lede, two buttons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Why do it here</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sentences, no components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Two tables in one container — the centrepiece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machine do I need?</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Five-row chooser table, 720px</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pay</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Chip row — blocked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What’s on site</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Amenity list + shot 1, split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Accordion × 6</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Directions, Call, hours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Amber twice — header and the hero’s Get directions. Block 8 uses secondary treatment because the hero already carried the primary action and repeating it in amber at the foot of a page with no booking flow overstates the urgency.</w:t>
      </w:r>
    </w:p>
    <w:p>
      <w:pPr>
        <w:keepNext/>
        <w:pBdr>
          <w:bottom w:val="single" w:color="E8751A" w:sz="14" w:space="8"/>
        </w:pBdr>
        <w:spacing w:after="150" w:before="300" w:line="300"/>
      </w:pPr>
      <w:r>
        <w:rPr>
          <w:rFonts w:ascii="Poppins" w:cs="Poppins" w:eastAsia="Poppins" w:hAnsi="Poppins"/>
          <w:b/>
          <w:bCs/>
          <w:color w:val="1B3C6E"/>
          <w:sz w:val="30"/>
          <w:szCs w:val="30"/>
        </w:rPr>
        <w:t xml:space="preserve">3. The Board on a Service Page</w:t>
      </w:r>
    </w:p>
    <w:p>
      <w:pPr>
        <w:keepNext/>
        <w:spacing w:after="110" w:before="260" w:line="288"/>
      </w:pPr>
      <w:r>
        <w:rPr>
          <w:rFonts w:ascii="Poppins" w:cs="Poppins" w:eastAsia="Poppins" w:hAnsi="Poppins"/>
          <w:b/>
          <w:bCs/>
          <w:color w:val="1B3C6E"/>
          <w:sz w:val="23"/>
          <w:szCs w:val="23"/>
        </w:rPr>
        <w:t xml:space="preserve">3.1 What differs from /pricing/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Container</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--r-lg panel on --surface-2 — same as /pricing/</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Width</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content width</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Captions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“Washers” and “Dryers” — identical</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headers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but less critical — eight rows in one view on desktop</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Zebra</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 both tables exceed the six-row threshold when combined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Intro line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Present here, absent on /pricing/</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Follow-on</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machine chooser, which /pricing/ does not carry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one-line intro above the Board is the only structural addition: on /pricing/ the table needs no introduction because the whole page is prices, but here it arrives after an argument and needs a sentence to connect the two. Something to the effect that this is every machine on the floor and what each costs — short, at the Lede step, not a heading.</w:t>
      </w:r>
    </w:p>
    <w:p>
      <w:pPr>
        <w:keepNext/>
        <w:spacing w:after="110" w:before="260" w:line="288"/>
      </w:pPr>
      <w:r>
        <w:rPr>
          <w:rFonts w:ascii="Poppins" w:cs="Poppins" w:eastAsia="Poppins" w:hAnsi="Poppins"/>
          <w:b/>
          <w:bCs/>
          <w:color w:val="1B3C6E"/>
          <w:sz w:val="23"/>
          <w:szCs w:val="23"/>
        </w:rPr>
        <w:t xml:space="preserve">3.2 The dryer unit problem</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A PER-MINUTE PRICE IN A COLUMN HEADED “PRICE” IS MISLEADING</w:t>
            </w:r>
          </w:p>
          <w:p>
            <w:pPr>
              <w:spacing w:after="0" w:line="258"/>
            </w:pPr>
            <w:r>
              <w:rPr>
                <w:rFonts w:ascii="Arial" w:cs="Arial" w:eastAsia="Arial" w:hAnsi="Arial"/>
                <w:b/>
                <w:bCs/>
                <w:i w:val="false"/>
                <w:iCs w:val="false"/>
                <w:caps w:val="false"/>
                <w:color w:val="2B3646"/>
                <w:sz w:val="18"/>
                <w:szCs w:val="18"/>
              </w:rPr>
              <w:t xml:space="preserve">Washers are priced per wash; dryers are priced per unit of time. </w:t>
            </w:r>
            <w:r>
              <w:rPr>
                <w:rFonts w:ascii="Arial" w:cs="Arial" w:eastAsia="Arial" w:hAnsi="Arial"/>
                <w:b w:val="false"/>
                <w:bCs w:val="false"/>
                <w:i w:val="false"/>
                <w:iCs w:val="false"/>
                <w:caps w:val="false"/>
                <w:color w:val="2B3646"/>
                <w:sz w:val="18"/>
                <w:szCs w:val="18"/>
              </w:rPr>
              <w:t xml:space="preserve">A visitor scanning a Price column and seeing “$0.25” next to a dryer will read it as the cost of drying a load, which it is not. This is a genuine comprehension failure, not a formatting preference, and it is the first time the two pricing models have appeared in the same component.</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Approach</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Assessment</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Put the unit in the cell — “$0.25 / 6 min”</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Recommended — unambiguous, no new column</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separate Unit column</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Adds a column that is empty for every washer row</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footnote beneath the dryer table</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Footnotes are not read; the misreading happens first</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Rename the column “Cost”</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Does not solve it — the ambiguity is in the value, not the header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unit renders in --text-mute at the Small step immediately after the figure, on the same line, so the price stays visually dominant while the unit is unmissable. A second line beneath, common in the alternative treatment, adds height to every dryer row for no gain.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short line beneath the dryer table gives the practical answer the table cannot: roughly what a typical load costs to dry. That is the number a customer actually wants and it is derivable from the cycle assumption — but it is an estimate and must read as one.</w:t>
      </w:r>
    </w:p>
    <w:p>
      <w:pPr>
        <w:keepNext/>
        <w:spacing w:after="110" w:before="260" w:line="288"/>
      </w:pPr>
      <w:r>
        <w:rPr>
          <w:rFonts w:ascii="Poppins" w:cs="Poppins" w:eastAsia="Poppins" w:hAnsi="Poppins"/>
          <w:b/>
          <w:bCs/>
          <w:color w:val="1B3C6E"/>
          <w:sz w:val="23"/>
          <w:szCs w:val="23"/>
        </w:rPr>
        <w:t xml:space="preserve">3.3 Rendering assumed values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cell in the Board is currently assumed. At the density of a full eight-row table, marking each one individually would produce a page of dashed underlines that is unreadable and looks broken.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7045"/>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Scope</w:t>
            </w:r>
          </w:p>
        </w:tc>
        <w:tc>
          <w:tcPr>
            <w:tcW w:type="dxa" w:w="70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Treatment</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Individual cells</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No per-cell marker — too dense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container</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One provisional band across the top of the panel</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Band wording</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“Proposed floor — awaiting confirmation from the owner”</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Band styling</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--a-300 tint at low alpha, 1.5px dashed --a-600 top and bottom, --n-950 ink</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Derived facts elsewhere</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Individually marked — they appear singly, not in bulk</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Production</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Band and values both absent — build fails while unconfirmed</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MARK THE SET, NOT THE MEMBERS</w:t>
            </w:r>
          </w:p>
          <w:p>
            <w:pPr>
              <w:spacing w:after="0" w:line="258"/>
            </w:pPr>
            <w:r>
              <w:rPr>
                <w:rFonts w:ascii="Arial" w:cs="Arial" w:eastAsia="Arial" w:hAnsi="Arial"/>
                <w:b/>
                <w:bCs/>
                <w:i w:val="false"/>
                <w:iCs w:val="false"/>
                <w:caps w:val="false"/>
                <w:color w:val="2B3646"/>
                <w:sz w:val="18"/>
                <w:szCs w:val="18"/>
              </w:rPr>
              <w:t xml:space="preserve">The provisional marker exists so a reviewer knows what is proposed rather than confirmed. </w:t>
            </w:r>
            <w:r>
              <w:rPr>
                <w:rFonts w:ascii="Arial" w:cs="Arial" w:eastAsia="Arial" w:hAnsi="Arial"/>
                <w:b w:val="false"/>
                <w:bCs w:val="false"/>
                <w:i w:val="false"/>
                <w:iCs w:val="false"/>
                <w:caps w:val="false"/>
                <w:color w:val="2B3646"/>
                <w:sz w:val="18"/>
                <w:szCs w:val="18"/>
              </w:rPr>
              <w:t xml:space="preserve">When an entire component is provisional, marking the component communicates that more clearly than marking forty cells — and it keeps the table legible enough to actually review, which is the whole reason for rendering assumed values in the first place. Single derived facts elsewhere on the site keep the inline marker, because there the ambiguity is real.</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Block-by-Block Craft Spec</w:t>
      </w:r>
    </w:p>
    <w:p>
      <w:pPr>
        <w:keepNext/>
        <w:spacing w:after="110" w:before="260" w:line="288"/>
      </w:pPr>
      <w:r>
        <w:rPr>
          <w:rFonts w:ascii="Poppins" w:cs="Poppins" w:eastAsia="Poppins" w:hAnsi="Poppins"/>
          <w:b/>
          <w:bCs/>
          <w:color w:val="1B3C6E"/>
          <w:sz w:val="23"/>
          <w:szCs w:val="23"/>
        </w:rPr>
        <w:t xml:space="preserve">4.1 Hero and “why 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Standard variant B, --sp-8 vertical, no photograph. Block 2 is prose only on --surface-1, 68ch, three sentences, no icons and no card. It is the most persuasive block on the page and it works because it looks like someone talking rather than a feature list — giving it three icons and a grid would convert an honest paragraph into marketing.</w:t>
      </w:r>
    </w:p>
    <w:p>
      <w:pPr>
        <w:keepNext/>
        <w:spacing w:after="110" w:before="260" w:line="288"/>
      </w:pPr>
      <w:r>
        <w:rPr>
          <w:rFonts w:ascii="Poppins" w:cs="Poppins" w:eastAsia="Poppins" w:hAnsi="Poppins"/>
          <w:b/>
          <w:bCs/>
          <w:color w:val="1B3C6E"/>
          <w:sz w:val="23"/>
          <w:szCs w:val="23"/>
        </w:rPr>
        <w:t xml:space="preserve">4.2 The machine chooser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rate table, three columns, max 720px</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Columns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you have… (left, --text-2) · Use (--text-1, Archivo 600) · Cost (right, tabular)</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Rows</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matching the washer tiers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no container — it sits directly on the band</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Relationship to the Board</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Visually lighter — no panel, no zebra, no captions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Below 600</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Stacks to label / value pairs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Keeping the chooser visually lighter than the Board is the important decision. Two tables of similar weight in consecutive blocks read as a mistake; one substantial panelled table followed by a plain three-column list reads as a reference followed by advice, which is exactly the relationship.</w:t>
      </w:r>
    </w:p>
    <w:p>
      <w:pPr>
        <w:keepNext/>
        <w:spacing w:after="110" w:before="260" w:line="288"/>
      </w:pPr>
      <w:r>
        <w:rPr>
          <w:rFonts w:ascii="Poppins" w:cs="Poppins" w:eastAsia="Poppins" w:hAnsi="Poppins"/>
          <w:b/>
          <w:bCs/>
          <w:color w:val="1B3C6E"/>
          <w:sz w:val="23"/>
          <w:szCs w:val="23"/>
        </w:rPr>
        <w:t xml:space="preserve">4.3 Payment chips and amenities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Block 5 is the chip row per the Pricing design guide — and currently a single SWAP token, since payment methods remain blocked. In the wireframe it renders as one dashed token, not as invented chips. That contrast is useful: on a page where everything else is now populated, the empty payment block makes the one remaining compliance blocker impossible to overlook.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7045"/>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Amenities block property</w:t>
            </w:r>
          </w:p>
        </w:tc>
        <w:tc>
          <w:tcPr>
            <w:tcW w:type="dxa" w:w="70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List 6 columns / photo 6 columns at desktop; stacked below 900, list first</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List</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or seven items, 20px --brand-support icons, single column within its half</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Blocked items</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Wi-Fi and attended hours render as inline SWAP tokens</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Photo</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1 at --r-lg, 3:2, with real alt text</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Stacking</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List first — the facts matter more than the photograph</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Photography — the Page That Earns Shot 1</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Shot 1 is the wide view of the machine floor, lights on, orderly. It has been reserved for the homepage hero throughout, and it appears here in block 6 as the only photograph on the page.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It is not in the hero. </w:t>
      </w:r>
      <w:r>
        <w:rPr>
          <w:rFonts w:ascii="Arial" w:cs="Arial" w:eastAsia="Arial" w:hAnsi="Arial"/>
          <w:b w:val="false"/>
          <w:bCs w:val="false"/>
          <w:i w:val="false"/>
          <w:iCs w:val="false"/>
          <w:caps w:val="false"/>
          <w:color w:val="2B3646"/>
          <w:sz w:val="20"/>
          <w:szCs w:val="20"/>
        </w:rPr>
        <w:t xml:space="preserve">Variant B carries no photograph, and putting the machine floor at the top would duplicate the homepage hero on the page most likely to be reached from it.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It sits next to the amenities, </w:t>
      </w:r>
      <w:r>
        <w:rPr>
          <w:rFonts w:ascii="Arial" w:cs="Arial" w:eastAsia="Arial" w:hAnsi="Arial"/>
          <w:b w:val="false"/>
          <w:bCs w:val="false"/>
          <w:i w:val="false"/>
          <w:iCs w:val="false"/>
          <w:caps w:val="false"/>
          <w:color w:val="2B3646"/>
          <w:sz w:val="20"/>
          <w:szCs w:val="20"/>
        </w:rPr>
        <w:t xml:space="preserve">which is the content it actually illustrates — a wide shot shows the room, the seating, the folding tables and the carts all at once.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second photograph is permitted here and nowhere else: </w:t>
      </w:r>
      <w:r>
        <w:rPr>
          <w:rFonts w:ascii="Arial" w:cs="Arial" w:eastAsia="Arial" w:hAnsi="Arial"/>
          <w:b w:val="false"/>
          <w:bCs w:val="false"/>
          <w:i w:val="false"/>
          <w:iCs w:val="false"/>
          <w:caps w:val="false"/>
          <w:color w:val="2B3646"/>
          <w:sz w:val="20"/>
          <w:szCs w:val="20"/>
        </w:rPr>
        <w:t xml:space="preserve">shot 6, the serviced control panel, may appear beside block 2 if the layout supports it. It is the visual form of the argument that paragraph is making.</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Both shots must be of this floor. </w:t>
      </w:r>
      <w:r>
        <w:rPr>
          <w:rFonts w:ascii="Arial" w:cs="Arial" w:eastAsia="Arial" w:hAnsi="Arial"/>
          <w:b w:val="false"/>
          <w:bCs w:val="false"/>
          <w:i w:val="false"/>
          <w:iCs w:val="false"/>
          <w:caps w:val="false"/>
          <w:color w:val="2B3646"/>
          <w:sz w:val="20"/>
          <w:szCs w:val="20"/>
        </w:rPr>
        <w:t xml:space="preserve">On the page whose entire content is now assumed pending confirmation, a stock photograph would be the second layer of unverified material on one page.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Alt text names the machines and the room, </w:t>
      </w:r>
      <w:r>
        <w:rPr>
          <w:rFonts w:ascii="Arial" w:cs="Arial" w:eastAsia="Arial" w:hAnsi="Arial"/>
          <w:b w:val="false"/>
          <w:bCs w:val="false"/>
          <w:i w:val="false"/>
          <w:iCs w:val="false"/>
          <w:caps w:val="false"/>
          <w:color w:val="2B3646"/>
          <w:sz w:val="20"/>
          <w:szCs w:val="20"/>
        </w:rPr>
        <w:t xml:space="preserve">not “laundromat interior.”</w:t>
      </w:r>
    </w:p>
    <w:p>
      <w:pPr>
        <w:keepNext/>
        <w:pBdr>
          <w:bottom w:val="single" w:color="E8751A" w:sz="14" w:space="8"/>
        </w:pBdr>
        <w:spacing w:after="150" w:before="300" w:line="300"/>
      </w:pPr>
      <w:r>
        <w:rPr>
          <w:rFonts w:ascii="Poppins" w:cs="Poppins" w:eastAsia="Poppins" w:hAnsi="Poppins"/>
          <w:b/>
          <w:bCs/>
          <w:color w:val="1B3C6E"/>
          <w:sz w:val="30"/>
          <w:szCs w:val="30"/>
        </w:rPr>
        <w:t xml:space="preserve">6.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2214"/>
        <w:gridCol w:w="2214"/>
        <w:gridCol w:w="2919"/>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inline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inline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full width</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Why do it here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68ch</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tables, sticky headers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sticky</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Stacked cards — eight, plus captions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chooser</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columns, 720px</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columns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label / value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chips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Wraps</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Wraps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Amenities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List 6 / photo 6</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list first</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photo 3:2</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width</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44px+ rows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 Call and Directions</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EIGHT STACKED BOARD CARDS IS THE LONGEST BLOCK ON THE SITE</w:t>
            </w:r>
          </w:p>
          <w:p>
            <w:pPr>
              <w:spacing w:after="0" w:line="258"/>
            </w:pPr>
            <w:r>
              <w:rPr>
                <w:rFonts w:ascii="Arial" w:cs="Arial" w:eastAsia="Arial" w:hAnsi="Arial"/>
                <w:b/>
                <w:bCs/>
                <w:i w:val="false"/>
                <w:iCs w:val="false"/>
                <w:caps w:val="false"/>
                <w:color w:val="2B3646"/>
                <w:sz w:val="18"/>
                <w:szCs w:val="18"/>
              </w:rPr>
              <w:t xml:space="preserve">At 320px the Board becomes eight stacked cards, each with four or five label/value pairs — roughly forty lines before the machine chooser begins. </w:t>
            </w:r>
            <w:r>
              <w:rPr>
                <w:rFonts w:ascii="Arial" w:cs="Arial" w:eastAsia="Arial" w:hAnsi="Arial"/>
                <w:b w:val="false"/>
                <w:bCs w:val="false"/>
                <w:i w:val="false"/>
                <w:iCs w:val="false"/>
                <w:caps w:val="false"/>
                <w:color w:val="2B3646"/>
                <w:sz w:val="18"/>
                <w:szCs w:val="18"/>
              </w:rPr>
              <w:t xml:space="preserve">Two mitigations, both required: keep the “Washers” and “Dryers” captions as sticky sub-headings so the reader always knows which group they are in, and put the machine chooser link in the intro line so a visitor who wants advice rather than an inventory can skip past. Verify in Spanish, where the “what it fits” descriptions run longer.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B; counts in the lede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Eight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1-2-1-2-1-2-1-3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 header and hero primary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 provisional band uses --n-950 on --a-300</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Board sits on tinted — the /pricing/ link uses --link-tint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 tabular figures</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Board and chooser both tabular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off-scale values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Board and rate table reused; provisional band is a documented variant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Board tables stack; chooser stacks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1 and optionally shot 6; no text over either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Assumed data is marked as proposed, never asserted (§3.3)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Plus: eight stacked cards verified in Spanish</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Self-Service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Self-Service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Self-Service Design Guide v1.0</dc:title>
  <dc:creator>TradeWorks AI</dc:creator>
  <dc:description>Laundry Station — Website Content Strategy &amp; Plan v1.0</dc:description>
  <cp:lastModifiedBy>Un-named</cp:lastModifiedBy>
  <cp:revision>1</cp:revision>
  <dcterms:created xsi:type="dcterms:W3CDTF">2026-07-29T21:29:57.926Z</dcterms:created>
  <dcterms:modified xsi:type="dcterms:W3CDTF">2026-07-29T21:29:57.927Z</dcterms:modified>
</cp:coreProperties>
</file>

<file path=docProps/custom.xml><?xml version="1.0" encoding="utf-8"?>
<Properties xmlns="http://schemas.openxmlformats.org/officeDocument/2006/custom-properties" xmlns:vt="http://schemas.openxmlformats.org/officeDocument/2006/docPropsVTypes"/>
</file>