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Services Hub</w:t>
      </w:r>
    </w:p>
    <w:p>
      <w:pPr>
        <w:spacing w:after="40" w:line="340"/>
      </w:pPr>
      <w:r>
        <w:rPr>
          <w:rFonts w:ascii="Poppins" w:cs="Poppins" w:eastAsia="Poppins" w:hAnsi="Poppins"/>
          <w:b/>
          <w:bCs/>
          <w:color w:val="1B3C6E"/>
          <w:sz w:val="50"/>
          <w:szCs w:val="50"/>
        </w:rPr>
        <w:t xml:space="preserve">Design Guide</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A page that must look deliberately unlike the homepage while listing the same six things.</w:t>
      </w:r>
    </w:p>
    <w:p>
      <w:pPr>
        <w:spacing w:after="60" w:line="288"/>
      </w:pPr>
      <w:r>
        <w:rPr>
          <w:rFonts w:ascii="Arial" w:cs="Arial" w:eastAsia="Arial" w:hAnsi="Arial"/>
          <w:color w:val="6A7686"/>
          <w:sz w:val="20"/>
          <w:szCs w:val="20"/>
        </w:rPr>
        <w:t xml:space="preserve">/services/  ·  Laundry Station  ·  Hero variant B</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1.0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Governed by</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Design Supplement v1.0 — applied, never restated</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Paired with</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Services Hub Developer Guide v1.0 · Services Hub Spanish Guide v1.0</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Central object</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The three-way comparison table (§3) — hardest responsive problem on the site</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Design risk</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Looking like the homepage. The visitor must feel they arrived somewhere new</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Deliverable it drives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The wireframe at 320 / 375 / 900 / 1400</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Designing Against the Homepage</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The Page in One Look</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3. The Comparison Table</w:t>
      </w:r>
      <w:r>
        <w:rPr>
          <w:color w:val="6A7686"/>
          <w:sz w:val="17"/>
          <w:szCs w:val="17"/>
        </w:rPr>
        <w:ptab w:alignment="right" w:relativeTo="margin" w:leader="dot"/>
      </w:r>
      <w:r>
        <w:rPr>
          <w:rFonts w:ascii="Arial" w:cs="Arial" w:eastAsia="Arial" w:hAnsi="Arial"/>
          <w:b/>
          <w:bCs/>
          <w:color w:val="1B3C6E"/>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3.1 Structure and emphasis</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3.2 Neutrality as a design constraint</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3.3 The mobile problem — three columns will not stack</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40" w:line="258"/>
      </w:pPr>
      <w:r>
        <w:rPr>
          <w:rFonts w:ascii="Poppins" w:cs="Poppins" w:eastAsia="Poppins" w:hAnsi="Poppins"/>
          <w:b/>
          <w:bCs/>
          <w:color w:val="1B3C6E"/>
          <w:sz w:val="19"/>
          <w:szCs w:val="19"/>
        </w:rPr>
        <w:t xml:space="preserve">4. Block-by-Block Craft Spec</w:t>
      </w:r>
      <w:r>
        <w:rPr>
          <w:color w:val="6A7686"/>
          <w:sz w:val="17"/>
          <w:szCs w:val="17"/>
        </w:rPr>
        <w:ptab w:alignment="right" w:relativeTo="margin" w:leader="dot"/>
      </w:r>
      <w:r>
        <w:rPr>
          <w:rFonts w:ascii="Arial" w:cs="Arial" w:eastAsia="Arial" w:hAnsi="Arial"/>
          <w:b/>
          <w:bCs/>
          <w:color w:val="1B3C6E"/>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4.1 Hero and the decision aid</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4.2 The six services</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4.3 Shared promise, prices, conversion</w:t>
      </w:r>
      <w:r>
        <w:rPr>
          <w:color w:val="6A7686"/>
          <w:sz w:val="17"/>
          <w:szCs w:val="17"/>
        </w:rPr>
        <w:ptab w:alignment="right" w:relativeTo="margin" w:leader="dot"/>
      </w:r>
      <w:r>
        <w:rPr>
          <w:rFonts w:ascii="Arial" w:cs="Arial" w:eastAsia="Arial" w:hAnsi="Arial"/>
          <w:b w:val="false"/>
          <w:bCs w:val="false"/>
          <w:color w:val="6A7686"/>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5. Responsive Behaviour</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6. The Per-Page Design Checklist, Applied</w:t>
      </w:r>
      <w:r>
        <w:rPr>
          <w:color w:val="6A7686"/>
          <w:sz w:val="17"/>
          <w:szCs w:val="17"/>
        </w:rPr>
        <w:ptab w:alignment="right" w:relativeTo="margin" w:leader="dot"/>
      </w:r>
      <w:r>
        <w:rPr>
          <w:rFonts w:ascii="Arial" w:cs="Arial" w:eastAsia="Arial" w:hAnsi="Arial"/>
          <w:b/>
          <w:bCs/>
          <w:color w:val="1B3C6E"/>
          <w:sz w:val="17"/>
          <w:szCs w:val="17"/>
        </w:rPr>
        <w:t xml:space="preserve">7</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Designing Against the Homepage</w:t>
      </w:r>
    </w:p>
    <w:p>
      <w:pPr>
        <w:keepNext w:val="false"/>
        <w:spacing w:after="120" w:before="0" w:line="264"/>
      </w:pPr>
      <w:r>
        <w:rPr>
          <w:rFonts w:ascii="Arial" w:cs="Arial" w:eastAsia="Arial" w:hAnsi="Arial"/>
          <w:b/>
          <w:bCs/>
          <w:i w:val="false"/>
          <w:iCs w:val="false"/>
          <w:caps w:val="false"/>
          <w:color w:val="1B3C6E"/>
          <w:sz w:val="20"/>
          <w:szCs w:val="20"/>
        </w:rPr>
        <w:t xml:space="preserve">A visitor arriving here from the homepage must immediately feel they are somewhere different, not one scroll further down. </w:t>
      </w:r>
      <w:r>
        <w:rPr>
          <w:rFonts w:ascii="Arial" w:cs="Arial" w:eastAsia="Arial" w:hAnsi="Arial"/>
          <w:b w:val="false"/>
          <w:bCs w:val="false"/>
          <w:i w:val="false"/>
          <w:iCs w:val="false"/>
          <w:caps w:val="false"/>
          <w:color w:val="2B3646"/>
          <w:sz w:val="20"/>
          <w:szCs w:val="20"/>
        </w:rPr>
        <w:t xml:space="preserve">The content guide solves that in words — fresh descriptions, honest “maybe not” lines, a comparison. The design has to solve it in shape, because a page that reads differently but looks identical still registers as a repeat.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428"/>
        <w:gridCol w:w="4932"/>
      </w:tblGrid>
      <w:tr>
        <w:trPr>
          <w:cantSplit/>
          <w:tblHeader/>
        </w:trPr>
        <w:tc>
          <w:tcPr>
            <w:tcW w:type="dxa" w:w="44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Homepage services grid</w:t>
            </w:r>
          </w:p>
        </w:tc>
        <w:tc>
          <w:tcPr>
            <w:tcW w:type="dxa" w:w="493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This page</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Six equal cards, 3×2</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A table first; the six services come fourth</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Cards are the dominant object</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comparison table is the dominant object</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Icons on every card</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icons in the services block at all</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Equal visual weight across six</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Three modes emphasised, three specialisms secondary</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Sells</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Compares</w:t>
            </w:r>
          </w:p>
        </w:tc>
      </w:tr>
    </w:tbl>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THE SINGLE MOST IMPORTANT DECISION ON THIS PAGE</w:t>
            </w:r>
          </w:p>
          <w:p>
            <w:pPr>
              <w:spacing w:after="0" w:line="258"/>
            </w:pPr>
            <w:r>
              <w:rPr>
                <w:rFonts w:ascii="Arial" w:cs="Arial" w:eastAsia="Arial" w:hAnsi="Arial"/>
                <w:b/>
                <w:bCs/>
                <w:i w:val="false"/>
                <w:iCs w:val="false"/>
                <w:caps w:val="false"/>
                <w:color w:val="2B3646"/>
                <w:sz w:val="18"/>
                <w:szCs w:val="18"/>
              </w:rPr>
              <w:t xml:space="preserve">The comparison table appears before the list of services, not after it. </w:t>
            </w:r>
            <w:r>
              <w:rPr>
                <w:rFonts w:ascii="Arial" w:cs="Arial" w:eastAsia="Arial" w:hAnsi="Arial"/>
                <w:b w:val="false"/>
                <w:bCs w:val="false"/>
                <w:i w:val="false"/>
                <w:iCs w:val="false"/>
                <w:caps w:val="false"/>
                <w:color w:val="2B3646"/>
                <w:sz w:val="18"/>
                <w:szCs w:val="18"/>
              </w:rPr>
              <w:t xml:space="preserve">Every instinct says introduce the six things and then compare them. Doing so makes the first screen identical to the homepage and buries the only content that justifies the page. Leading with the comparison announces the page’s purpose in one glance and makes the service list feel like supporting detail — which is what it is here.</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2. The Page in One Look</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2415"/>
        <w:gridCol w:w="1912"/>
        <w:gridCol w:w="4530"/>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Block</w:t>
            </w:r>
          </w:p>
        </w:tc>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Surface</w:t>
            </w:r>
          </w:p>
        </w:tc>
        <w:tc>
          <w:tcPr>
            <w:tcW w:type="dxa" w:w="45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Object</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Header</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45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Standard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 (variant B)</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--surface-2</w:t>
            </w:r>
          </w:p>
        </w:tc>
        <w:tc>
          <w:tcPr>
            <w:tcW w:type="dxa" w:w="45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H1 + lede, no buttons</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Which one do you need?</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45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Three routing statements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Comparison table</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--surface-2</w:t>
            </w:r>
          </w:p>
        </w:tc>
        <w:tc>
          <w:tcPr>
            <w:tcW w:type="dxa" w:w="4530"/>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Three-column table — the centrepiece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six services</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45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Six list entries, no cards, no icons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every service shares</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--surface-2</w:t>
            </w:r>
          </w:p>
        </w:tc>
        <w:tc>
          <w:tcPr>
            <w:tcW w:type="dxa" w:w="45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Three lines</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Prices at a glance</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45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Compact five-line summary</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Conversion</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--surface-3</w:t>
            </w:r>
          </w:p>
        </w:tc>
        <w:tc>
          <w:tcPr>
            <w:tcW w:type="dxa" w:w="45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Action row</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Footer</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--n-950</w:t>
            </w:r>
          </w:p>
        </w:tc>
        <w:tc>
          <w:tcPr>
            <w:tcW w:type="dxa" w:w="45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Standard</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Surfaces alternate 1-2-1-2-1-2-1-3. Amber appears twice: the header CTA and the single conversion primary at block 7. Nothing between them competes, which suits a page whose job is to let someone think.</w:t>
      </w:r>
    </w:p>
    <w:p>
      <w:pPr>
        <w:keepNext/>
        <w:pBdr>
          <w:bottom w:val="single" w:color="E8751A" w:sz="14" w:space="8"/>
        </w:pBdr>
        <w:spacing w:after="150" w:before="300" w:line="300"/>
      </w:pPr>
      <w:r>
        <w:rPr>
          <w:rFonts w:ascii="Poppins" w:cs="Poppins" w:eastAsia="Poppins" w:hAnsi="Poppins"/>
          <w:b/>
          <w:bCs/>
          <w:color w:val="1B3C6E"/>
          <w:sz w:val="30"/>
          <w:szCs w:val="30"/>
        </w:rPr>
        <w:t xml:space="preserve">3. The Comparison Table</w:t>
      </w:r>
    </w:p>
    <w:p>
      <w:pPr>
        <w:keepNext/>
        <w:spacing w:after="110" w:before="260" w:line="288"/>
      </w:pPr>
      <w:r>
        <w:rPr>
          <w:rFonts w:ascii="Poppins" w:cs="Poppins" w:eastAsia="Poppins" w:hAnsi="Poppins"/>
          <w:b/>
          <w:bCs/>
          <w:color w:val="1B3C6E"/>
          <w:sz w:val="23"/>
          <w:szCs w:val="23"/>
        </w:rPr>
        <w:t xml:space="preserve">3.1 Structure and emphasis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812"/>
        <w:gridCol w:w="7548"/>
      </w:tblGrid>
      <w:tr>
        <w:trPr>
          <w:cantSplit/>
          <w:tblHeader/>
        </w:trPr>
        <w:tc>
          <w:tcPr>
            <w:tcW w:type="dxa" w:w="18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Property</w:t>
            </w:r>
          </w:p>
        </w:tc>
        <w:tc>
          <w:tcPr>
            <w:tcW w:type="dxa" w:w="75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Spec</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Container</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 panel on the --surface-2 band; --r-lg, 1px --line</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Width</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Full content width — the only table on the site that uses it</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Header row</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--surface-3; the three service names in Archivo 600 --brand</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Row labels</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Left column, --text-2, Archivo 600 — the four dimensions</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Cells</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Body step, --text-1; figures tabular</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Rules</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Horizontal 1px --line; one vertical --line after the label column only</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Row height</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64px minimum — taller than The Board because cells carry sentences</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Header links</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Each service name links to its page; underline on hover only</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single vertical rule after the label column is the one exception to the no-vertical-rules policy in Design Supplement §8.4. In a comparison the label column is a different kind of thing from the data columns, and separating it is what lets the eye scan across a row without losing its place. One rule, not four.</w:t>
      </w:r>
    </w:p>
    <w:p>
      <w:pPr>
        <w:keepNext/>
        <w:spacing w:after="110" w:before="260" w:line="288"/>
      </w:pPr>
      <w:r>
        <w:rPr>
          <w:rFonts w:ascii="Poppins" w:cs="Poppins" w:eastAsia="Poppins" w:hAnsi="Poppins"/>
          <w:b/>
          <w:bCs/>
          <w:color w:val="1B3C6E"/>
          <w:sz w:val="23"/>
          <w:szCs w:val="23"/>
        </w:rPr>
        <w:t xml:space="preserve">3.2 Neutrality as a design constraint</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NO COLUMN IS EMPHASISED, BY ANY MEANS</w:t>
            </w:r>
          </w:p>
          <w:p>
            <w:pPr>
              <w:spacing w:after="0" w:line="258"/>
            </w:pPr>
            <w:r>
              <w:rPr>
                <w:rFonts w:ascii="Arial" w:cs="Arial" w:eastAsia="Arial" w:hAnsi="Arial"/>
                <w:b/>
                <w:bCs/>
                <w:i w:val="false"/>
                <w:iCs w:val="false"/>
                <w:caps w:val="false"/>
                <w:color w:val="2B3646"/>
                <w:sz w:val="18"/>
                <w:szCs w:val="18"/>
              </w:rPr>
              <w:t xml:space="preserve">No highlighted column, no tinted background on a recommended option, no “most popular” badge, no border treatment on one column, no bolder type in one column, no ordering that implies preference. </w:t>
            </w:r>
            <w:r>
              <w:rPr>
                <w:rFonts w:ascii="Arial" w:cs="Arial" w:eastAsia="Arial" w:hAnsi="Arial"/>
                <w:b w:val="false"/>
                <w:bCs w:val="false"/>
                <w:i w:val="false"/>
                <w:iCs w:val="false"/>
                <w:caps w:val="false"/>
                <w:color w:val="2B3646"/>
                <w:sz w:val="18"/>
                <w:szCs w:val="18"/>
              </w:rPr>
              <w:t xml:space="preserve">Comparison tables on commercial sites almost always steer, and visitors have learned to discount them for exactly that reason. The credibility of this table — and therefore the value of the page — depends entirely on it visibly not steering. If the owner later asks to highlight a column, the correct response is that doing so destroys the asset.</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Column order is Self-Service, Wash &amp; Fold, Pickup &amp; Delivery — ascending by how much the store does for the customer. That is a neutral, explicable ordering rather than a commercial one, and it should be described that way if it is ever questioned.</w:t>
      </w:r>
    </w:p>
    <w:p>
      <w:pPr>
        <w:keepNext/>
        <w:spacing w:after="110" w:before="260" w:line="288"/>
      </w:pPr>
      <w:r>
        <w:rPr>
          <w:rFonts w:ascii="Poppins" w:cs="Poppins" w:eastAsia="Poppins" w:hAnsi="Poppins"/>
          <w:b/>
          <w:bCs/>
          <w:color w:val="1B3C6E"/>
          <w:sz w:val="23"/>
          <w:szCs w:val="23"/>
        </w:rPr>
        <w:t xml:space="preserve">3.3 The mobile problem — three columns will not stack</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This is the hardest responsive problem in the build. The site rule is that tables stack to label/value pairs below 600px, but a three-way comparison stacked that way produces twelve disconnected pairs and destroys the comparison entirely.</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422"/>
        <w:gridCol w:w="5938"/>
      </w:tblGrid>
      <w:tr>
        <w:trPr>
          <w:cantSplit/>
          <w:tblHeader/>
        </w:trPr>
        <w:tc>
          <w:tcPr>
            <w:tcW w:type="dxa" w:w="342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Approach</w:t>
            </w:r>
          </w:p>
        </w:tc>
        <w:tc>
          <w:tcPr>
            <w:tcW w:type="dxa" w:w="593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Result</w:t>
            </w:r>
          </w:p>
        </w:tc>
      </w:tr>
      <w:tr>
        <w:trPr>
          <w:cantSplit/>
          <w:tblHeader w:val="false"/>
        </w:trPr>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Stack to label / value pairs</w:t>
            </w:r>
          </w:p>
        </w:tc>
        <w:tc>
          <w:tcPr>
            <w:tcW w:type="dxa" w:w="593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Fails — comparison is lost; twelve pairs read as a list</w:t>
            </w:r>
          </w:p>
        </w:tc>
      </w:tr>
      <w:tr>
        <w:trPr>
          <w:cantSplit/>
          <w:tblHeader w:val="false"/>
        </w:trPr>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Horizontal scroll</w:t>
            </w:r>
          </w:p>
        </w:tc>
        <w:tc>
          <w:tcPr>
            <w:tcW w:type="dxa" w:w="593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Fails — banned site-wide; hides columns behind a gesture</w:t>
            </w:r>
          </w:p>
        </w:tc>
      </w:tr>
      <w:tr>
        <w:trPr>
          <w:cantSplit/>
          <w:tblHeader w:val="false"/>
        </w:trPr>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Shrink to fit three columns</w:t>
            </w:r>
          </w:p>
        </w:tc>
        <w:tc>
          <w:tcPr>
            <w:tcW w:type="dxa" w:w="593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3261E"/>
                <w:sz w:val="18"/>
                <w:szCs w:val="18"/>
              </w:rPr>
              <w:t xml:space="preserve">Fails — cells carry sentences; type would drop below the scale</w:t>
            </w:r>
          </w:p>
        </w:tc>
      </w:tr>
      <w:tr>
        <w:trPr>
          <w:cantSplit/>
          <w:tblHeader w:val="false"/>
        </w:trPr>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card per service, dimensions repeated inside</w:t>
            </w:r>
          </w:p>
        </w:tc>
        <w:tc>
          <w:tcPr>
            <w:tcW w:type="dxa" w:w="5938"/>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Works — recommended</w:t>
            </w:r>
          </w:p>
        </w:tc>
      </w:tr>
    </w:tbl>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Below 600px, the table becomes three stacked cards:</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  ┌─ Self-Service ─────────────────────────┐</w:t>
            </w:r>
          </w:p>
          <w:p>
            <w:pPr>
              <w:spacing w:after="0" w:line="236"/>
            </w:pPr>
            <w:r>
              <w:rPr>
                <w:rFonts w:ascii="Consolas" w:cs="Consolas" w:eastAsia="Consolas" w:hAnsi="Consolas"/>
                <w:color w:val="10233F"/>
                <w:sz w:val="16"/>
                <w:szCs w:val="16"/>
              </w:rPr>
              <w:t xml:space="preserve">  │ What it costs   Per machine — see Board  │</w:t>
            </w:r>
          </w:p>
          <w:p>
            <w:pPr>
              <w:spacing w:after="0" w:line="236"/>
            </w:pPr>
            <w:r>
              <w:rPr>
                <w:rFonts w:ascii="Consolas" w:cs="Consolas" w:eastAsia="Consolas" w:hAnsi="Consolas"/>
                <w:color w:val="10233F"/>
                <w:sz w:val="16"/>
                <w:szCs w:val="16"/>
              </w:rPr>
              <w:t xml:space="preserve">  │ Your time       About {{TIME}} in store  │</w:t>
            </w:r>
          </w:p>
          <w:p>
            <w:pPr>
              <w:spacing w:after="0" w:line="236"/>
            </w:pPr>
            <w:r>
              <w:rPr>
                <w:rFonts w:ascii="Consolas" w:cs="Consolas" w:eastAsia="Consolas" w:hAnsi="Consolas"/>
                <w:color w:val="10233F"/>
                <w:sz w:val="16"/>
                <w:szCs w:val="16"/>
              </w:rPr>
              <w:t xml:space="preserve">  │ Until done      Same visit               │</w:t>
            </w:r>
          </w:p>
          <w:p>
            <w:pPr>
              <w:spacing w:after="0" w:line="236"/>
            </w:pPr>
            <w:r>
              <w:rPr>
                <w:rFonts w:ascii="Consolas" w:cs="Consolas" w:eastAsia="Consolas" w:hAnsi="Consolas"/>
                <w:color w:val="10233F"/>
                <w:sz w:val="16"/>
                <w:szCs w:val="16"/>
              </w:rPr>
              <w:t xml:space="preserve">  │ Best if         Same-day, don’t mind trip │</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  (then Wash &amp; Fold, then Pickup &amp; Delivery)</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HONEST TRADE-OFF</w:t>
            </w:r>
          </w:p>
          <w:p>
            <w:pPr>
              <w:spacing w:after="0" w:line="258"/>
            </w:pPr>
            <w:r>
              <w:rPr>
                <w:rFonts w:ascii="Arial" w:cs="Arial" w:eastAsia="Arial" w:hAnsi="Arial"/>
                <w:b/>
                <w:bCs/>
                <w:i w:val="false"/>
                <w:iCs w:val="false"/>
                <w:caps w:val="false"/>
                <w:color w:val="2B3646"/>
                <w:sz w:val="18"/>
                <w:szCs w:val="18"/>
              </w:rPr>
              <w:t xml:space="preserve">The card version is a worse comparison than the table — the visitor must hold one card in memory while reading the next. </w:t>
            </w:r>
            <w:r>
              <w:rPr>
                <w:rFonts w:ascii="Arial" w:cs="Arial" w:eastAsia="Arial" w:hAnsi="Arial"/>
                <w:b w:val="false"/>
                <w:bCs w:val="false"/>
                <w:i w:val="false"/>
                <w:iCs w:val="false"/>
                <w:caps w:val="false"/>
                <w:color w:val="2B3646"/>
                <w:sz w:val="18"/>
                <w:szCs w:val="18"/>
              </w:rPr>
              <w:t xml:space="preserve">There is no arrangement that preserves true side-by-side comparison at 320px, so the goal is the least-bad version rather than an equivalent one. Repeating all four dimension labels inside every card is what makes it work: the labels are the anchor that lets a reader compare across cards. Do not abbreviate them to save space.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Between 600 and 900px the table stays a table — three columns fit at tablet width provided the “Best if” row is allowed to wrap to three lines.</w:t>
      </w:r>
    </w:p>
    <w:p>
      <w:pPr>
        <w:keepNext/>
        <w:pBdr>
          <w:bottom w:val="single" w:color="E8751A" w:sz="14" w:space="8"/>
        </w:pBdr>
        <w:spacing w:after="150" w:before="300" w:line="300"/>
      </w:pPr>
      <w:r>
        <w:rPr>
          <w:rFonts w:ascii="Poppins" w:cs="Poppins" w:eastAsia="Poppins" w:hAnsi="Poppins"/>
          <w:b/>
          <w:bCs/>
          <w:color w:val="1B3C6E"/>
          <w:sz w:val="30"/>
          <w:szCs w:val="30"/>
        </w:rPr>
        <w:t xml:space="preserve">4. Block-by-Block Craft Spec</w:t>
      </w:r>
    </w:p>
    <w:p>
      <w:pPr>
        <w:keepNext/>
        <w:spacing w:after="110" w:before="260" w:line="288"/>
      </w:pPr>
      <w:r>
        <w:rPr>
          <w:rFonts w:ascii="Poppins" w:cs="Poppins" w:eastAsia="Poppins" w:hAnsi="Poppins"/>
          <w:b/>
          <w:bCs/>
          <w:color w:val="1B3C6E"/>
          <w:sz w:val="23"/>
          <w:szCs w:val="23"/>
        </w:rPr>
        <w:t xml:space="preserve">4.1 Hero and the decision aid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Hero is standard variant B on --surface-2, --sp-8 vertical, no buttons. Compressed slightly relative to other service pages so the decision aid and the top of the comparison table are reachable in one scroll at 375px.</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214"/>
        <w:gridCol w:w="7146"/>
      </w:tblGrid>
      <w:tr>
        <w:trPr>
          <w:cantSplit/>
          <w:tblHeader/>
        </w:trPr>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Decision aid property</w:t>
            </w:r>
          </w:p>
        </w:tc>
        <w:tc>
          <w:tcPr>
            <w:tcW w:type="dxa" w:w="714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Spec</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Ground</w:t>
            </w:r>
          </w:p>
        </w:tc>
        <w:tc>
          <w:tcPr>
            <w:tcW w:type="dxa" w:w="71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 --sp-7 vertical</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Form</w:t>
            </w:r>
          </w:p>
        </w:tc>
        <w:tc>
          <w:tcPr>
            <w:tcW w:type="dxa" w:w="71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Three rows, each a quoted situation and a linked answer</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Situation text</w:t>
            </w:r>
          </w:p>
        </w:tc>
        <w:tc>
          <w:tcPr>
            <w:tcW w:type="dxa" w:w="71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Lede step, --text-1, in quotation marks — it is a voice, not a label</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Answer</w:t>
            </w:r>
          </w:p>
        </w:tc>
        <w:tc>
          <w:tcPr>
            <w:tcW w:type="dxa" w:w="71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service name as a --link, plus a 20px chevron</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Layout</w:t>
            </w:r>
          </w:p>
        </w:tc>
        <w:tc>
          <w:tcPr>
            <w:tcW w:type="dxa" w:w="71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Single column at every breakpoint — these are sentences, not cards</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Setting the situations in quotation marks at the Lede step is doing real work: it signals these are things a person might say rather than categories the business has invented, which is what makes a visitor recognise themselves in one.</w:t>
      </w:r>
    </w:p>
    <w:p>
      <w:pPr>
        <w:keepNext/>
        <w:spacing w:after="110" w:before="260" w:line="288"/>
      </w:pPr>
      <w:r>
        <w:rPr>
          <w:rFonts w:ascii="Poppins" w:cs="Poppins" w:eastAsia="Poppins" w:hAnsi="Poppins"/>
          <w:b/>
          <w:bCs/>
          <w:color w:val="1B3C6E"/>
          <w:sz w:val="23"/>
          <w:szCs w:val="23"/>
        </w:rPr>
        <w:t xml:space="preserve">4.2 The six services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912"/>
        <w:gridCol w:w="7448"/>
      </w:tblGrid>
      <w:tr>
        <w:trPr>
          <w:cantSplit/>
          <w:tblHeader/>
        </w:trPr>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Property</w:t>
            </w:r>
          </w:p>
        </w:tc>
        <w:tc>
          <w:tcPr>
            <w:tcW w:type="dxa" w:w="74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Spec</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Form</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A list, not cards, and no icons</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Entry</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H3 title as a --link, paragraph in --text-2, then two labelled lines</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“Good if”</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Small step, --text-2, prefixed with the label in --text-1 600</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“Maybe not if”</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 treatment — identical weight, never smaller or greyer</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Separator</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1px --line between entries, --sp-6 padding</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Layout</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Single column at all breakpoints; two columns would fragment the reading</w:t>
            </w:r>
          </w:p>
        </w:tc>
      </w:tr>
    </w:tbl>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THE “MAYBE NOT” LINE IS NEVER VISUALLY DEMOTED</w:t>
            </w:r>
          </w:p>
          <w:p>
            <w:pPr>
              <w:spacing w:after="0" w:line="258"/>
            </w:pPr>
            <w:r>
              <w:rPr>
                <w:rFonts w:ascii="Arial" w:cs="Arial" w:eastAsia="Arial" w:hAnsi="Arial"/>
                <w:b/>
                <w:bCs/>
                <w:i w:val="false"/>
                <w:iCs w:val="false"/>
                <w:caps w:val="false"/>
                <w:color w:val="2B3646"/>
                <w:sz w:val="18"/>
                <w:szCs w:val="18"/>
              </w:rPr>
              <w:t xml:space="preserve">Same type size, same colour, same weight as “Good if.” </w:t>
            </w:r>
            <w:r>
              <w:rPr>
                <w:rFonts w:ascii="Arial" w:cs="Arial" w:eastAsia="Arial" w:hAnsi="Arial"/>
                <w:b w:val="false"/>
                <w:bCs w:val="false"/>
                <w:i w:val="false"/>
                <w:iCs w:val="false"/>
                <w:caps w:val="false"/>
                <w:color w:val="2B3646"/>
                <w:sz w:val="18"/>
                <w:szCs w:val="18"/>
              </w:rPr>
              <w:t xml:space="preserve">Setting it smaller, lighter, or in --text-mute is the instinctive move and it undoes the entire point of including it. A caveat rendered as fine print reads as a disclaimer the business was obliged to add; a caveat rendered at full weight reads as advice. The credibility of the whole page is carried by that one typographic decision.</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No cards and no icons in this block is the deliberate contrast with the homepage grid. The same six services, presented as reading rather than as options — which is what makes the two pages feel different at a glance.</w:t>
      </w:r>
    </w:p>
    <w:p>
      <w:pPr>
        <w:keepNext/>
        <w:spacing w:after="110" w:before="260" w:line="288"/>
      </w:pPr>
      <w:r>
        <w:rPr>
          <w:rFonts w:ascii="Poppins" w:cs="Poppins" w:eastAsia="Poppins" w:hAnsi="Poppins"/>
          <w:b/>
          <w:bCs/>
          <w:color w:val="1B3C6E"/>
          <w:sz w:val="23"/>
          <w:szCs w:val="23"/>
        </w:rPr>
        <w:t xml:space="preserve">4.3 Shared promise, prices, conversion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Block 5 is three short lines on --surface-2 with 20px --brand-support icons, single column, centred as a group but left-aligned as text. It is the shortest block on the page and should feel like a held breath between the comparison and the prices.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Block 6 is a compact two-column summary on --surface-1, max 560px, no container, five lines maximum, closing with a --link to /pricing/. It is deliberately narrower and plainer than the comparison table so it does not read as a second attempt at one.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Block 7 is the standard conversion band on --surface-3: Schedule Pickup (amber), Call, Directions. The only amber on the page below the header.</w:t>
      </w:r>
    </w:p>
    <w:p>
      <w:pPr>
        <w:keepNext/>
        <w:pBdr>
          <w:bottom w:val="single" w:color="E8751A" w:sz="14" w:space="8"/>
        </w:pBdr>
        <w:spacing w:after="150" w:before="300" w:line="300"/>
      </w:pPr>
      <w:r>
        <w:rPr>
          <w:rFonts w:ascii="Poppins" w:cs="Poppins" w:eastAsia="Poppins" w:hAnsi="Poppins"/>
          <w:b/>
          <w:bCs/>
          <w:color w:val="1B3C6E"/>
          <w:sz w:val="30"/>
          <w:szCs w:val="30"/>
        </w:rPr>
        <w:t xml:space="preserve">5. Responsive Behaviour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114"/>
        <w:gridCol w:w="2114"/>
        <w:gridCol w:w="2415"/>
        <w:gridCol w:w="2717"/>
      </w:tblGrid>
      <w:tr>
        <w:trPr>
          <w:cantSplit/>
          <w:tblHeader/>
        </w:trPr>
        <w:tc>
          <w:tcPr>
            <w:tcW w:type="dxa" w:w="21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Block</w:t>
            </w:r>
          </w:p>
        </w:tc>
        <w:tc>
          <w:tcPr>
            <w:tcW w:type="dxa" w:w="21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1400</w:t>
            </w:r>
          </w:p>
        </w:tc>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900</w:t>
            </w:r>
          </w:p>
        </w:tc>
        <w:tc>
          <w:tcPr>
            <w:tcW w:type="dxa" w:w="27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375 / 320</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H1 + lede</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r>
      <w:tr>
        <w:trPr>
          <w:cantSplit/>
          <w:tblHeader w:val="false"/>
        </w:trPr>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Decision aid</w:t>
            </w:r>
          </w:p>
        </w:tc>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Three rows</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Three rows</w:t>
            </w:r>
          </w:p>
        </w:tc>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Three rows, chevron wraps</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Comparison table</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Table, full width</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Table, “Best if” wraps to 3 lines</w:t>
            </w:r>
          </w:p>
        </w:tc>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Three stacked cards (§3.3)</w:t>
            </w:r>
          </w:p>
        </w:tc>
      </w:tr>
      <w:tr>
        <w:trPr>
          <w:cantSplit/>
          <w:tblHeader w:val="false"/>
        </w:trPr>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Six services</w:t>
            </w:r>
          </w:p>
        </w:tc>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Single column list</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Shared promise</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Three lines</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Three lines</w:t>
            </w:r>
          </w:p>
        </w:tc>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Stacked</w:t>
            </w:r>
          </w:p>
        </w:tc>
      </w:tr>
      <w:tr>
        <w:trPr>
          <w:cantSplit/>
          <w:tblHeader w:val="false"/>
        </w:trPr>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Prices at a glance</w:t>
            </w:r>
          </w:p>
        </w:tc>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columns, 560px</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columns</w:t>
            </w:r>
          </w:p>
        </w:tc>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Stacked pairs</w:t>
            </w:r>
          </w:p>
        </w:tc>
      </w:tr>
      <w:tr>
        <w:trPr>
          <w:cantSplit/>
          <w:tblHeader w:val="false"/>
        </w:trPr>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Conversion</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Row of three</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Row of three</w:t>
            </w:r>
          </w:p>
        </w:tc>
        <w:tc>
          <w:tcPr>
            <w:tcW w:type="dxa" w:w="27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Stacked</w:t>
            </w:r>
          </w:p>
        </w:tc>
      </w:tr>
      <w:tr>
        <w:trPr>
          <w:cantSplit/>
          <w:tblHeader w:val="false"/>
        </w:trPr>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Sticky bar</w:t>
            </w:r>
          </w:p>
        </w:tc>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Hidden</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Hidden</w:t>
            </w:r>
          </w:p>
        </w:tc>
        <w:tc>
          <w:tcPr>
            <w:tcW w:type="dxa" w:w="27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Visible — Call and Schedule</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6. The Per-Page Design Checklist, Applied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4328"/>
        <w:gridCol w:w="4529"/>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43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Check</w:t>
            </w:r>
          </w:p>
        </w:tc>
        <w:tc>
          <w:tcPr>
            <w:tcW w:type="dxa" w:w="452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This page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Defined hero variant; answer-first H1, no eyebrow</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Variant B; no buttons in hero</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eyebrow above any heading</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Seven blocks, zero</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Surfaces alternate</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1-2-1-2-1-2-1-3 — verified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amber per band; max two per viewport</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 header and block 7</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Amber fill carries --n-950 ink</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Inherited</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Links by surface</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 links appear on both surface types — both variants used</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Interactive borders use --line-control</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inputs on this page</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Type from the scale; tabular figures</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Comparison and price figures tabular</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9</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Spacing from the token scale</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off-scale values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10</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Components from §8 unchanged</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documented exception — single vertical rule (§3.1)</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11</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Tables stack below 600, no horizontal scroll</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Documented variant — three cards, not label/value (§3.3)</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Images sized, alt, lazy, scrim</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images on this page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13</w:t>
            </w:r>
          </w:p>
        </w:tc>
        <w:tc>
          <w:tcPr>
            <w:tcW w:type="dxa" w:w="43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fabricated proof</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And no steering — the table declares no winner (§3.2)</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14</w:t>
            </w:r>
          </w:p>
        </w:tc>
        <w:tc>
          <w:tcPr>
            <w:tcW w:type="dxa" w:w="43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Clean at 320 / 375 / 900 / 1400</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Comparison cards verified at 320 in Spanish</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Services Hub Design Guide v1.0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Services Hub Design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Services Hub Design Guide v1.0</dc:title>
  <dc:creator>TradeWorks AI</dc:creator>
  <dc:description>Laundry Station — Website Content Strategy &amp; Plan v1.0</dc:description>
  <cp:lastModifiedBy>Un-named</cp:lastModifiedBy>
  <cp:revision>1</cp:revision>
  <dcterms:created xsi:type="dcterms:W3CDTF">2026-07-29T21:03:14.981Z</dcterms:created>
  <dcterms:modified xsi:type="dcterms:W3CDTF">2026-07-29T21:03:14.981Z</dcterms:modified>
</cp:coreProperties>
</file>

<file path=docProps/custom.xml><?xml version="1.0" encoding="utf-8"?>
<Properties xmlns="http://schemas.openxmlformats.org/officeDocument/2006/custom-properties" xmlns:vt="http://schemas.openxmlformats.org/officeDocument/2006/docPropsVTypes"/>
</file>