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Lesson 2 - HTML - Free Stylin’</w:t>
      </w:r>
    </w:p>
    <w:p w:rsidR="00000000" w:rsidDel="00000000" w:rsidP="00000000" w:rsidRDefault="00000000" w:rsidRPr="00000000">
      <w:pPr>
        <w:contextualSpacing w:val="0"/>
        <w:jc w:val="center"/>
      </w:pPr>
      <w:r w:rsidDel="00000000" w:rsidR="00000000" w:rsidRPr="00000000">
        <w:rPr>
          <w:b w:val="1"/>
          <w:sz w:val="28"/>
          <w:szCs w:val="28"/>
          <w:rtl w:val="0"/>
        </w:rPr>
        <w:t xml:space="preserve">Lecture Notes</w:t>
      </w:r>
    </w:p>
    <w:p w:rsidR="00000000" w:rsidDel="00000000" w:rsidP="00000000" w:rsidRDefault="00000000" w:rsidRPr="00000000">
      <w:pPr>
        <w:contextualSpacing w:val="0"/>
      </w:pPr>
      <w:r w:rsidDel="00000000" w:rsidR="00000000" w:rsidRPr="00000000">
        <w:rPr>
          <w:b w:val="1"/>
          <w:u w:val="single"/>
          <w:rtl w:val="0"/>
        </w:rPr>
        <w:t xml:space="preserve">Activity</w:t>
      </w:r>
    </w:p>
    <w:p w:rsidR="00000000" w:rsidDel="00000000" w:rsidP="00000000" w:rsidRDefault="00000000" w:rsidRPr="00000000">
      <w:pPr>
        <w:contextualSpacing w:val="0"/>
      </w:pPr>
      <w:r w:rsidDel="00000000" w:rsidR="00000000" w:rsidRPr="00000000">
        <w:rPr>
          <w:b w:val="1"/>
          <w:rtl w:val="0"/>
        </w:rPr>
        <w:t xml:space="preserve">Colorzilla </w:t>
      </w:r>
      <w:r w:rsidDel="00000000" w:rsidR="00000000" w:rsidRPr="00000000">
        <w:rPr>
          <w:rtl w:val="0"/>
        </w:rPr>
        <w:t xml:space="preserve">- Google Chrome plugin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 page color analyzer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Page color picker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Color palette gallery</w:t>
      </w:r>
    </w:p>
    <w:p w:rsidR="00000000" w:rsidDel="00000000" w:rsidP="00000000" w:rsidRDefault="00000000" w:rsidRPr="00000000">
      <w:pPr>
        <w:contextualSpacing w:val="0"/>
      </w:pPr>
      <w:r w:rsidDel="00000000" w:rsidR="00000000" w:rsidRPr="00000000">
        <w:rPr>
          <w:u w:val="single"/>
          <w:rtl w:val="0"/>
        </w:rPr>
        <w:t xml:space="preserve">http://www.colourlovers.com/web/palettes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Color picker (different shades)</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http://www.w3schools.com/colors/colors_picker.asp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Choose a color palette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 a background on an element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 a border on an element that is a few shades darker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Lecture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HTML Headings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Headings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h1 - h6</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Headings are Important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They are used by search engines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Users skim the page looking at headings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Horizontal Rules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HTML head element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html title element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Sets the title for the page in the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html meta element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Probably won’t need to worry about this one too much at all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More meta elements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to view HTML source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Hot key in chrome is CTRL + U</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HTML Paragraphs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paragraph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display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Spaces and newlines only count as one space.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Don’t forget the end tag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Seriously don’t forget the end tags.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Line Breaks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&lt;br /&gt; let’s you break lines without starting a new paragraph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poem problem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HTML pre element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&lt;pre&gt;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 don’t really like using this element, but for now, it’s at least good to know about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Can later be replaced by css rules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HTML Styles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HTML style attribute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style=”property:value;”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Inside of a style tag, you can put as many css rules as you’d like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Eventually, once we make it to the css tutorials, i’m going to say the style attribute is no longer allowed.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background color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text color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fonts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text size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text alignment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The styles we know about so far</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Use </w:t>
      </w:r>
      <w:r w:rsidDel="00000000" w:rsidR="00000000" w:rsidRPr="00000000">
        <w:rPr>
          <w:b w:val="1"/>
          <w:rtl w:val="0"/>
        </w:rPr>
        <w:t xml:space="preserve">background-color</w:t>
      </w:r>
      <w:r w:rsidDel="00000000" w:rsidR="00000000" w:rsidRPr="00000000">
        <w:rPr>
          <w:rtl w:val="0"/>
        </w:rPr>
        <w:t xml:space="preserve"> for background color</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Use </w:t>
      </w:r>
      <w:r w:rsidDel="00000000" w:rsidR="00000000" w:rsidRPr="00000000">
        <w:rPr>
          <w:b w:val="1"/>
          <w:rtl w:val="0"/>
        </w:rPr>
        <w:t xml:space="preserve">color </w:t>
      </w:r>
      <w:r w:rsidDel="00000000" w:rsidR="00000000" w:rsidRPr="00000000">
        <w:rPr>
          <w:rtl w:val="0"/>
        </w:rPr>
        <w:t xml:space="preserve">for text colors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Use </w:t>
      </w:r>
      <w:r w:rsidDel="00000000" w:rsidR="00000000" w:rsidRPr="00000000">
        <w:rPr>
          <w:b w:val="1"/>
          <w:rtl w:val="0"/>
        </w:rPr>
        <w:t xml:space="preserve">font-family</w:t>
      </w:r>
      <w:r w:rsidDel="00000000" w:rsidR="00000000" w:rsidRPr="00000000">
        <w:rPr>
          <w:rtl w:val="0"/>
        </w:rPr>
        <w:t xml:space="preserve"> for text fonts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Use </w:t>
      </w:r>
      <w:r w:rsidDel="00000000" w:rsidR="00000000" w:rsidRPr="00000000">
        <w:rPr>
          <w:b w:val="1"/>
          <w:rtl w:val="0"/>
        </w:rPr>
        <w:t xml:space="preserve">font-size</w:t>
      </w:r>
      <w:r w:rsidDel="00000000" w:rsidR="00000000" w:rsidRPr="00000000">
        <w:rPr>
          <w:rtl w:val="0"/>
        </w:rPr>
        <w:t xml:space="preserve"> for text sizes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Use</w:t>
      </w:r>
      <w:r w:rsidDel="00000000" w:rsidR="00000000" w:rsidRPr="00000000">
        <w:rPr>
          <w:b w:val="1"/>
          <w:rtl w:val="0"/>
        </w:rPr>
        <w:t xml:space="preserve"> text-align</w:t>
      </w:r>
      <w:r w:rsidDel="00000000" w:rsidR="00000000" w:rsidRPr="00000000">
        <w:rPr>
          <w:rtl w:val="0"/>
        </w:rPr>
        <w:t xml:space="preserve"> for text alignment</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HTML Formatting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Text Formatting Elements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Bold and Strong formatting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&lt;b&gt;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&lt;strong&gt;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Italic and Emphasized formatting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&lt;i&gt;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&lt;em&gt;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Small Formatting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&lt;small&gt;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marked formatting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&lt;mark&gt;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Deleted formatting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&lt;del&gt;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inserted formatting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&lt;ins&gt;</w:t>
      </w:r>
    </w:p>
    <w:p w:rsidR="00000000" w:rsidDel="00000000" w:rsidP="00000000" w:rsidRDefault="00000000" w:rsidRPr="00000000">
      <w:pPr>
        <w:numPr>
          <w:ilvl w:val="2"/>
          <w:numId w:val="1"/>
        </w:numPr>
        <w:ind w:left="2160" w:hanging="360"/>
        <w:contextualSpacing w:val="1"/>
        <w:rPr>
          <w:u w:val="none"/>
        </w:rPr>
      </w:pPr>
      <w:hyperlink r:id="rId6">
        <w:r w:rsidDel="00000000" w:rsidR="00000000" w:rsidRPr="00000000">
          <w:rPr>
            <w:color w:val="1155cc"/>
            <w:u w:val="single"/>
            <w:rtl w:val="0"/>
          </w:rPr>
          <w:t xml:space="preserve">http://www.w3schools.com/tags/tag_u.asp</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&lt;u&gt; is essentially deprecated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subscript and superscript formatting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&lt;sub&gt;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&lt;sup&gt;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HTML Quotation and Citation Elements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Html &lt;q&gt; for short quotations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&lt;blockquote&gt; for long quotations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&lt;abbr&gt; for Abbreviations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&lt;address&gt; for Contact information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&lt;cite&gt; for work title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&lt;bdo&gt; for bi-directional override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 can’t imagine a real-world situation where you would ever need this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HTML Computer Code Elements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Html Computer Code Formatting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&lt;kbd&gt; for keyboard input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Seriously have never seen this before (probably don’t need 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&lt;samp&gt; for Computer output</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Seems pretty useful, but also oddly specific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&lt;code&gt; for computer code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Definitely great. Used perhaps more often than you might think!</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&lt;code&gt; and &lt;pre&gt; seem to work well together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&lt;var&gt; for variables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seems like over-kill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Maybe if you were programming a math website or a financial website with a bunch of formulas?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HTML Comments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 Comment Tags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Nova Mono" w:cs="Nova Mono" w:eastAsia="Nova Mono" w:hAnsi="Nova Mono"/>
          <w:rtl w:val="0"/>
        </w:rPr>
        <w:t xml:space="preserve">&lt;!-- Comments go here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They will not be rendered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Great for temporarily taking out code when debugging a project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Conditional comments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Don’t use them, you’ll drive other developers nuts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Developers want to check CSS rules to figure out why things aren’t showing up on a page, not conditional comments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note on comments. Source code should always be easy to read, but for those moments where you have A LOT going on in one file, comments can help someone or yourself out later on so they don’t have to read as much code to figure out what is going 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HTML Colors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Color Names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red, orange, yellow, blue, green, cyan, magenta, lime,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RGB (Red Green Blue)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0 - 255 for each color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Gray means all 3 values match up exactly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HEX Colors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It’s really just the same as RGB, but instead uses the HEX counting system.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colors/colors_picker.asp" TargetMode="External"/><Relationship Id="rId6" Type="http://schemas.openxmlformats.org/officeDocument/2006/relationships/hyperlink" Target="http://www.w3schools.com/tags/tag_u.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