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6 - CSS:  CSS: Float, Inline-block, Selectors, Align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Lecture Notes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Lecture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Float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http://learnlayout.com/float.html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http://learnlayout.com/clear.html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http://learnlayout.com/clearfix.html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http://learnlayout.com/float-layout.html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http://stackoverflow.com/questions/9189810/css-display-inline-vs-inline-block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676400"/>
            <wp:effectExtent b="0" l="0" r="0" t="0"/>
            <wp:docPr descr="CSS block vs inline vs inline-block" id="1" name="image01.png"/>
            <a:graphic>
              <a:graphicData uri="http://schemas.openxmlformats.org/drawingml/2006/picture">
                <pic:pic>
                  <pic:nvPicPr>
                    <pic:cNvPr descr="CSS block vs inline vs inline-block" id="0" name="image0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u w:val="single"/>
          <w:rtl w:val="0"/>
        </w:rPr>
        <w:t xml:space="preserve">Inline elements: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340" w:line="305.21739130434787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respect left &amp; right margins and padding, but 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not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top &amp; bottom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340" w:line="305.21739130434787" w:lineRule="auto"/>
        <w:ind w:left="1180" w:hanging="360"/>
        <w:contextualSpacing w:val="1"/>
        <w:rPr/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cannot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have a width and height set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20" w:line="305.21739130434787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allow other elements to sit to their left and right.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u w:val="single"/>
          <w:rtl w:val="0"/>
        </w:rPr>
        <w:t xml:space="preserve">Block elements: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340" w:line="305.21739130434787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R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espects margin &amp; padding in all directions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20" w:line="305.21739130434787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forces a line break after the block element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u w:val="single"/>
          <w:rtl w:val="0"/>
        </w:rPr>
        <w:t xml:space="preserve">Inline-block elements: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line="305.21739130434787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allow other elements to sit to their left and right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line="305.21739130434787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respect top &amp; bottom margins and padding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305.21739130434787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respect height and width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CSS Combinators 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http://www.w3schools.com/cssref/css_selectors.asp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Descendant selectors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a space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 p { background-color:red; }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finds all p tags that are within a &lt;div&gt; on some level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work on &lt;div&gt; &lt;ul&gt; &lt;li&gt; &lt;p&gt; text goes here &lt;/p&gt; &lt;/li&gt; &lt;/ul&gt; &lt;/div&gt;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&lt;p&gt; is an </w:t>
      </w:r>
      <w:r w:rsidDel="00000000" w:rsidR="00000000" w:rsidRPr="00000000">
        <w:rPr>
          <w:b w:val="1"/>
          <w:rtl w:val="0"/>
        </w:rPr>
        <w:t xml:space="preserve">eventual</w:t>
      </w:r>
      <w:r w:rsidDel="00000000" w:rsidR="00000000" w:rsidRPr="00000000">
        <w:rPr>
          <w:rtl w:val="0"/>
        </w:rPr>
        <w:t xml:space="preserve"> ancestor of &lt;div&gt;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Child selector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a greater than sign &gt;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bit more specific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 &gt; li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all li tags that are direct child of ul tags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should be formed this way anyway - it certainly can’t hurt to be explicit here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Adjacent sibling selector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very common, uses a plus sign.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get a little confusing using these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Although, they can be nice when used with a class selector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li.emphasized { box-shadow:5px; }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li.emphasized + li { margin: 5px 0px; }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(bump the next li down a bit, because this one is emphasized.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sibling selector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little bit more common.  Much more useful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a tilde ~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all siblings on the same level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Eventually we can use these when building an expand/collapse tree.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CSS Psuedo-classes: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can be important!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http://www.w3schools.com/css/tryit.asp?filename=trycss_pseudo-class_hover_div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:first-child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really just first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:hover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Incredibly useful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used on all elements!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used in a chain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:active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useful for form controls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 an active checkbox, textbox, or button, how should it look?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:nth-of-type(n)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http://www.w3schools.com/cssref/sel_nth-of-type.asp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Accepts “odd” or “even” as input!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an+b (allows you to select # of things!)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useful for doing “alt-rows” in a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CSS attribute selectors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http://www.w3schools.com/css/css_attribute_selectors.asp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will focus on these once we have learned a bit of javascript.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now, they’re just good to know about.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people put data on html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Activity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Selectors work in google chrome search!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Google chrome inspect element, you can change the pseudo-class state of the element!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http://flukeout.github.io/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42729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42729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242729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w3schools.com/cssref/css_selectors.asp" TargetMode="External"/><Relationship Id="rId10" Type="http://schemas.openxmlformats.org/officeDocument/2006/relationships/image" Target="media/image01.png"/><Relationship Id="rId13" Type="http://schemas.openxmlformats.org/officeDocument/2006/relationships/hyperlink" Target="http://www.w3schools.com/cssref/sel_nth-of-type.asp" TargetMode="External"/><Relationship Id="rId12" Type="http://schemas.openxmlformats.org/officeDocument/2006/relationships/hyperlink" Target="http://www.w3schools.com/css/tryit.asp?filename=trycss_pseudo-class_hover_div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tackoverflow.com/questions/9189810/css-display-inline-vs-inline-block" TargetMode="External"/><Relationship Id="rId15" Type="http://schemas.openxmlformats.org/officeDocument/2006/relationships/hyperlink" Target="http://flukeout.github.io/" TargetMode="External"/><Relationship Id="rId14" Type="http://schemas.openxmlformats.org/officeDocument/2006/relationships/hyperlink" Target="http://www.w3schools.com/css/css_attribute_selectors.asp" TargetMode="External"/><Relationship Id="rId5" Type="http://schemas.openxmlformats.org/officeDocument/2006/relationships/hyperlink" Target="http://learnlayout.com/float.html" TargetMode="External"/><Relationship Id="rId6" Type="http://schemas.openxmlformats.org/officeDocument/2006/relationships/hyperlink" Target="http://learnlayout.com/clear.html" TargetMode="External"/><Relationship Id="rId7" Type="http://schemas.openxmlformats.org/officeDocument/2006/relationships/hyperlink" Target="http://learnlayout.com/clearfix.html" TargetMode="External"/><Relationship Id="rId8" Type="http://schemas.openxmlformats.org/officeDocument/2006/relationships/hyperlink" Target="http://learnlayout.com/float-layout.html" TargetMode="External"/></Relationships>
</file>