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d'activité trimestriel</w:t>
      </w:r>
    </w:p>
    <w:p>
      <w:r>
        <w:t>Les recettes du trimestre progressent de 4,2 % par rapport au trimestre précédent.</w:t>
      </w:r>
    </w:p>
    <w:p>
      <w:r>
        <w:t>La direction financière signale un retard de paiement sur trois marchés publics.</w:t>
      </w:r>
    </w:p>
    <w:p>
      <w:r>
        <w:t>Le taux de recouvrement atteint 91 % à fin mars, au-dessus de l'objectif fixé à 88 %.</w:t>
      </w:r>
    </w:p>
    <w:p>
      <w:r>
        <w:t>Recommandation : renforcer le suivi des échéances et automatiser les relances.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Indicateur</w:t>
            </w:r>
          </w:p>
        </w:tc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T2</w:t>
            </w:r>
          </w:p>
        </w:tc>
      </w:tr>
      <w:tr>
        <w:tc>
          <w:tcPr>
            <w:tcW w:type="dxa" w:w="2880"/>
          </w:tcPr>
          <w:p>
            <w:r>
              <w:t>Recettes (M FCFA)</w:t>
            </w:r>
          </w:p>
        </w:tc>
        <w:tc>
          <w:tcPr>
            <w:tcW w:type="dxa" w:w="2880"/>
          </w:tcPr>
          <w:p>
            <w:r>
              <w:t>12 450</w:t>
            </w:r>
          </w:p>
        </w:tc>
        <w:tc>
          <w:tcPr>
            <w:tcW w:type="dxa" w:w="2880"/>
          </w:tcPr>
          <w:p>
            <w:r>
              <w:t>13 100</w:t>
            </w:r>
          </w:p>
        </w:tc>
      </w:tr>
      <w:tr>
        <w:tc>
          <w:tcPr>
            <w:tcW w:type="dxa" w:w="2880"/>
          </w:tcPr>
          <w:p>
            <w:r>
              <w:t>Dépenses (M FCFA)</w:t>
            </w:r>
          </w:p>
        </w:tc>
        <w:tc>
          <w:tcPr>
            <w:tcW w:type="dxa" w:w="2880"/>
          </w:tcPr>
          <w:p>
            <w:r>
              <w:t>11 900</w:t>
            </w:r>
          </w:p>
        </w:tc>
        <w:tc>
          <w:tcPr>
            <w:tcW w:type="dxa" w:w="2880"/>
          </w:tcPr>
          <w:p>
            <w:r>
              <w:t>12 600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