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CUSTOMER_ORDER.CUSTOMER_ID = total_ordered.CUSTOMER_ID</w:t>
      </w:r>
      <w:r>
        <w:br w:type="textWrapping"/>
      </w:r>
      <w:r>
        <w:rPr>
          <w:rStyle w:val="KeywordTok"/>
        </w:rPr>
        <w:t xml:space="preserve">AND</w:t>
      </w:r>
      <w:r>
        <w:rPr>
          <w:rStyle w:val="NormalTok"/>
        </w:rPr>
        <w:t xml:space="preserve"> CUSTOMER_ORDER.PRODUCT_ID = total_ordered.PRODUCT_ID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3" w:name="a-using-order-by"/>
      <w:bookmarkEnd w:id="53"/>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4" w:name="b-ordering-and-bounds"/>
      <w:bookmarkEnd w:id="54"/>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5" w:name="mixing-partition-by-order-by"/>
      <w:bookmarkEnd w:id="55"/>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56" w:name="a-simple-max-over-parition-and-order-by"/>
      <w:bookmarkEnd w:id="56"/>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57" w:name="b-rolling-total-quantity-by-product_id-with-physical-boundary"/>
      <w:bookmarkEnd w:id="57"/>
      <w:r>
        <w:t xml:space="preserve">5.3B Rolling Total Quantity by PRODUCT_ID, with physical boundary</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8" w:name="rolling-windows"/>
      <w:bookmarkEnd w:id="58"/>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SIX_DAY_WINDOW_AVG</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9" w:name="exercise-1"/>
      <w:bookmarkEnd w:id="59"/>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0" w:name="section-vi---sql-with-python-r-and-java"/>
      <w:bookmarkEnd w:id="60"/>
      <w:r>
        <w:t xml:space="preserve">Section VI - SQL with Python, R, and Java</w:t>
      </w:r>
    </w:p>
    <w:p>
      <w:pPr>
        <w:pStyle w:val="Heading2"/>
      </w:pPr>
      <w:bookmarkStart w:id="61" w:name="a-using-sql-with-python"/>
      <w:bookmarkEnd w:id="61"/>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2" w:name="b-using-sql-with-python"/>
      <w:bookmarkEnd w:id="62"/>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3" w:name="c-using-sql-with-python"/>
      <w:bookmarkEnd w:id="63"/>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4" w:name="using-sql-with-r"/>
      <w:bookmarkEnd w:id="64"/>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5" w:name="using-sql-with-javascalakotlin"/>
      <w:bookmarkEnd w:id="65"/>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6">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7">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8">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9">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0" w:name="a---selecting-data-with-jdbc-and-hikaricp"/>
      <w:bookmarkEnd w:id="70"/>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1" w:name="b-passing-parameters"/>
      <w:bookmarkEnd w:id="71"/>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2" w:name="c-writing-data"/>
      <w:bookmarkEnd w:id="72"/>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79a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e5f7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2017-09-13T16:02:25Z</dcterms:created>
  <dcterms:modified xsi:type="dcterms:W3CDTF">2017-09-13T16:02:25Z</dcterms:modified>
</cp:coreProperties>
</file>