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11773D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附件1：</w:t>
      </w:r>
    </w:p>
    <w:p w14:paraId="53184F1A">
      <w:pPr>
        <w:spacing w:line="360" w:lineRule="auto"/>
        <w:jc w:val="center"/>
        <w:rPr>
          <w:rFonts w:hint="eastAsia" w:ascii="宋体" w:hAnsi="宋体"/>
          <w:b/>
          <w:sz w:val="36"/>
          <w:szCs w:val="36"/>
        </w:rPr>
      </w:pPr>
      <w:bookmarkStart w:id="0" w:name="OLE_LINK105"/>
      <w:r>
        <w:rPr>
          <w:rFonts w:hint="eastAsia" w:ascii="宋体" w:hAnsi="宋体"/>
          <w:b/>
          <w:sz w:val="36"/>
          <w:szCs w:val="36"/>
        </w:rPr>
        <w:t>2025食</w:t>
      </w:r>
      <w:bookmarkStart w:id="1" w:name="OLE_LINK86"/>
      <w:r>
        <w:rPr>
          <w:rFonts w:hint="eastAsia" w:ascii="宋体" w:hAnsi="宋体"/>
          <w:b/>
          <w:sz w:val="36"/>
          <w:szCs w:val="36"/>
        </w:rPr>
        <w:t>品</w:t>
      </w:r>
      <w:bookmarkStart w:id="2" w:name="OLE_LINK96"/>
      <w:r>
        <w:rPr>
          <w:rFonts w:hint="eastAsia" w:ascii="宋体" w:hAnsi="宋体"/>
          <w:b/>
          <w:sz w:val="36"/>
          <w:szCs w:val="36"/>
        </w:rPr>
        <w:t>安全创新案</w:t>
      </w:r>
      <w:bookmarkEnd w:id="1"/>
      <w:r>
        <w:rPr>
          <w:rFonts w:hint="eastAsia" w:ascii="宋体" w:hAnsi="宋体"/>
          <w:b/>
          <w:sz w:val="36"/>
          <w:szCs w:val="36"/>
        </w:rPr>
        <w:t>例申</w:t>
      </w:r>
      <w:bookmarkEnd w:id="2"/>
      <w:r>
        <w:rPr>
          <w:rFonts w:hint="eastAsia" w:ascii="宋体" w:hAnsi="宋体"/>
          <w:b/>
          <w:sz w:val="36"/>
          <w:szCs w:val="36"/>
        </w:rPr>
        <w:t>报表</w:t>
      </w:r>
      <w:bookmarkEnd w:id="0"/>
    </w:p>
    <w:tbl>
      <w:tblPr>
        <w:tblStyle w:val="13"/>
        <w:tblW w:w="8645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59"/>
        <w:gridCol w:w="2696"/>
      </w:tblGrid>
      <w:tr w14:paraId="2A1EC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669F8085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企业全称</w:t>
            </w:r>
          </w:p>
        </w:tc>
        <w:tc>
          <w:tcPr>
            <w:tcW w:w="6473" w:type="dxa"/>
            <w:gridSpan w:val="3"/>
            <w:vAlign w:val="center"/>
          </w:tcPr>
          <w:p w14:paraId="1012539F">
            <w:pPr>
              <w:jc w:val="center"/>
              <w:rPr>
                <w:rFonts w:hint="default" w:ascii="仿宋" w:hAnsi="仿宋" w:eastAsia="仿宋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kern w:val="0"/>
                <w:sz w:val="28"/>
                <w:szCs w:val="28"/>
                <w:lang w:val="en-US" w:eastAsia="zh-CN"/>
              </w:rPr>
              <w:t>海底捞国际控股有限公司</w:t>
            </w:r>
          </w:p>
        </w:tc>
      </w:tr>
      <w:tr w14:paraId="72B1D5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7962058C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2218" w:type="dxa"/>
            <w:vAlign w:val="center"/>
          </w:tcPr>
          <w:p w14:paraId="407BD368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杨立</w:t>
            </w:r>
          </w:p>
        </w:tc>
        <w:tc>
          <w:tcPr>
            <w:tcW w:w="1559" w:type="dxa"/>
            <w:vAlign w:val="center"/>
          </w:tcPr>
          <w:p w14:paraId="696A06E2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3" w:name="OLE_LINK8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联系电话</w:t>
            </w:r>
            <w:bookmarkEnd w:id="3"/>
          </w:p>
        </w:tc>
        <w:tc>
          <w:tcPr>
            <w:tcW w:w="2696" w:type="dxa"/>
            <w:vAlign w:val="center"/>
          </w:tcPr>
          <w:p w14:paraId="2396FE98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18910072465</w:t>
            </w:r>
          </w:p>
        </w:tc>
      </w:tr>
      <w:tr w14:paraId="76E19F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B5F1A20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4" w:name="OLE_LINK83" w:colFirst="0" w:colLast="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部门</w:t>
            </w:r>
          </w:p>
        </w:tc>
        <w:tc>
          <w:tcPr>
            <w:tcW w:w="2218" w:type="dxa"/>
            <w:vAlign w:val="center"/>
          </w:tcPr>
          <w:p w14:paraId="7A7A142A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质量安全管理部</w:t>
            </w:r>
          </w:p>
        </w:tc>
        <w:tc>
          <w:tcPr>
            <w:tcW w:w="1559" w:type="dxa"/>
            <w:vAlign w:val="center"/>
          </w:tcPr>
          <w:p w14:paraId="38648798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职务</w:t>
            </w:r>
          </w:p>
        </w:tc>
        <w:tc>
          <w:tcPr>
            <w:tcW w:w="2696" w:type="dxa"/>
            <w:vAlign w:val="center"/>
          </w:tcPr>
          <w:p w14:paraId="03B2A146">
            <w:pPr>
              <w:jc w:val="center"/>
              <w:rPr>
                <w:rFonts w:hint="default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val="en-US" w:eastAsia="zh-CN"/>
              </w:rPr>
              <w:t>质量安全负责人</w:t>
            </w:r>
          </w:p>
        </w:tc>
      </w:tr>
      <w:tr w14:paraId="288632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vAlign w:val="center"/>
          </w:tcPr>
          <w:p w14:paraId="48BA2765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5" w:name="OLE_LINK10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案例1</w:t>
            </w:r>
          </w:p>
        </w:tc>
      </w:tr>
      <w:bookmarkEnd w:id="4"/>
      <w:tr w14:paraId="537D3F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3F568AAE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  <w:bookmarkEnd w:id="5"/>
          </w:p>
        </w:tc>
        <w:tc>
          <w:tcPr>
            <w:tcW w:w="6473" w:type="dxa"/>
            <w:gridSpan w:val="3"/>
            <w:vAlign w:val="center"/>
          </w:tcPr>
          <w:p w14:paraId="76130A40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/>
                <w:kern w:val="0"/>
                <w:sz w:val="28"/>
                <w:szCs w:val="28"/>
              </w:rPr>
              <w:t>全链条、全方位、全动员的“嗨食安”食品安全管理模式</w:t>
            </w:r>
          </w:p>
        </w:tc>
      </w:tr>
      <w:tr w14:paraId="20EC56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07007E3B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bookmarkStart w:id="6" w:name="OLE_LINK88"/>
            <w:bookmarkStart w:id="7" w:name="OLE_LINK85"/>
            <w:bookmarkStart w:id="8" w:name="OLE_LINK92" w:colFirst="1" w:colLast="2"/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8F7619E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vAlign w:val="center"/>
          </w:tcPr>
          <w:p w14:paraId="0568CF7B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333333"/>
                <w:spacing w:val="-6"/>
                <w:sz w:val="28"/>
                <w:szCs w:val="28"/>
                <w:shd w:val="clear" w:color="auto" w:fill="FFFFFF"/>
              </w:rPr>
              <w:t>（一）管理体系与制度创新</w:t>
            </w:r>
          </w:p>
        </w:tc>
      </w:tr>
      <w:tr w14:paraId="722F40D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25BCB55F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vAlign w:val="center"/>
          </w:tcPr>
          <w:p w14:paraId="5386B735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  <w:lang w:eastAsia="zh-CN"/>
              </w:rPr>
              <w:t>☑</w:t>
            </w: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 xml:space="preserve"> 仅文字    □ 仅视频    □ 文字与视频结合</w:t>
            </w:r>
          </w:p>
        </w:tc>
      </w:tr>
      <w:tr w14:paraId="7EC66B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vAlign w:val="center"/>
          </w:tcPr>
          <w:p w14:paraId="19D7A17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vAlign w:val="center"/>
          </w:tcPr>
          <w:p w14:paraId="00595960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3AF33C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1D254C77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案例2</w:t>
            </w:r>
          </w:p>
        </w:tc>
      </w:tr>
      <w:tr w14:paraId="3A63BA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05A9CD2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F3EE1A8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20F025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F024356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34DDED3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0E15E6C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19A854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7CC6EC6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38C28656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309E3C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69AB7E22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7312BB0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4F28044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8645" w:type="dxa"/>
            <w:gridSpan w:val="4"/>
            <w:shd w:val="clear" w:color="auto" w:fill="auto"/>
            <w:vAlign w:val="center"/>
          </w:tcPr>
          <w:p w14:paraId="4186103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案例3</w:t>
            </w:r>
          </w:p>
        </w:tc>
      </w:tr>
      <w:tr w14:paraId="20D85A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4D385DB9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案例名称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067064D1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09DE902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27241381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申报方向</w:t>
            </w:r>
          </w:p>
          <w:p w14:paraId="2E0D0F8F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Cs w:val="21"/>
              </w:rPr>
              <w:t>（每个案例对应1个）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61AB6AB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tr w14:paraId="5EFFCE5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3A4D977D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申报形式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97665">
            <w:pPr>
              <w:snapToGrid w:val="0"/>
              <w:jc w:val="left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□ 仅文字    □ 仅视频    □ 文字与视频结合</w:t>
            </w:r>
          </w:p>
        </w:tc>
      </w:tr>
      <w:tr w14:paraId="7867AF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172" w:type="dxa"/>
            <w:shd w:val="clear" w:color="auto" w:fill="auto"/>
            <w:vAlign w:val="center"/>
          </w:tcPr>
          <w:p w14:paraId="169ADA29">
            <w:pPr>
              <w:snapToGrid w:val="0"/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  <w:t>视频下载链接（如有）</w:t>
            </w:r>
          </w:p>
        </w:tc>
        <w:tc>
          <w:tcPr>
            <w:tcW w:w="6473" w:type="dxa"/>
            <w:gridSpan w:val="3"/>
            <w:shd w:val="clear" w:color="auto" w:fill="auto"/>
            <w:vAlign w:val="center"/>
          </w:tcPr>
          <w:p w14:paraId="4DB01D7A">
            <w:pPr>
              <w:jc w:val="center"/>
              <w:rPr>
                <w:rFonts w:hint="eastAsia" w:ascii="仿宋" w:hAnsi="仿宋" w:eastAsia="仿宋" w:cs="微软雅黑 Light"/>
                <w:kern w:val="0"/>
                <w:sz w:val="28"/>
                <w:szCs w:val="28"/>
              </w:rPr>
            </w:pPr>
          </w:p>
        </w:tc>
      </w:tr>
      <w:bookmarkEnd w:id="6"/>
      <w:bookmarkEnd w:id="7"/>
      <w:bookmarkEnd w:id="8"/>
    </w:tbl>
    <w:p w14:paraId="3CB94E95">
      <w:pPr>
        <w:pStyle w:val="10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rFonts w:hint="eastAsia"/>
          <w:color w:val="333333"/>
          <w:spacing w:val="-6"/>
          <w:sz w:val="30"/>
          <w:szCs w:val="30"/>
          <w:shd w:val="clear" w:color="auto" w:fill="FFFFFF"/>
        </w:rPr>
      </w:pPr>
      <w:r>
        <w:rPr>
          <w:rFonts w:hint="eastAsia" w:ascii="仿宋" w:hAnsi="仿宋" w:eastAsia="仿宋" w:cs="仿宋"/>
          <w:color w:val="333333"/>
          <w:spacing w:val="-6"/>
          <w:sz w:val="28"/>
          <w:szCs w:val="28"/>
          <w:shd w:val="clear" w:color="auto" w:fill="FFFFFF"/>
        </w:rPr>
        <w:t>*申报方向：（一）管理体系与制度创新；（二）供应链与源头管控创新；（三）生产与加工环节创新；（四）流通与销售环节创新；（五）社会价值与公益项目。</w:t>
      </w:r>
    </w:p>
    <w:p w14:paraId="6E1A28BF">
      <w:pPr>
        <w:spacing w:line="360" w:lineRule="auto"/>
        <w:jc w:val="left"/>
        <w:rPr>
          <w:rFonts w:hint="eastAsia" w:ascii="仿宋" w:hAnsi="仿宋" w:eastAsia="仿宋"/>
          <w:b/>
          <w:sz w:val="30"/>
          <w:szCs w:val="30"/>
        </w:rPr>
      </w:pPr>
    </w:p>
    <w:p w14:paraId="5ECF8659">
      <w:pPr>
        <w:spacing w:line="360" w:lineRule="auto"/>
        <w:jc w:val="left"/>
        <w:rPr>
          <w:rFonts w:hint="eastAsia" w:ascii="仿宋" w:hAnsi="仿宋" w:eastAsia="仿宋"/>
          <w:bCs/>
          <w:sz w:val="30"/>
          <w:szCs w:val="30"/>
        </w:rPr>
      </w:pPr>
      <w:r>
        <w:rPr>
          <w:rFonts w:hint="eastAsia" w:ascii="仿宋" w:hAnsi="仿宋" w:eastAsia="仿宋"/>
          <w:b/>
          <w:sz w:val="30"/>
          <w:szCs w:val="30"/>
        </w:rPr>
        <w:t>附件</w:t>
      </w:r>
      <w:r>
        <w:rPr>
          <w:rFonts w:ascii="仿宋" w:hAnsi="仿宋" w:eastAsia="仿宋"/>
          <w:b/>
          <w:sz w:val="30"/>
          <w:szCs w:val="30"/>
        </w:rPr>
        <w:t>2</w:t>
      </w:r>
      <w:r>
        <w:rPr>
          <w:rFonts w:hint="eastAsia" w:ascii="仿宋" w:hAnsi="仿宋" w:eastAsia="仿宋"/>
          <w:b/>
          <w:sz w:val="30"/>
          <w:szCs w:val="30"/>
        </w:rPr>
        <w:t>：</w:t>
      </w:r>
    </w:p>
    <w:p w14:paraId="5E729D31">
      <w:pPr>
        <w:spacing w:after="160" w:line="360" w:lineRule="auto"/>
        <w:jc w:val="center"/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</w:pPr>
      <w:r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  <w:t>企业全称：海底捞国际控股有限公司</w:t>
      </w:r>
    </w:p>
    <w:p w14:paraId="34F905F6">
      <w:pPr>
        <w:spacing w:after="160" w:line="360" w:lineRule="auto"/>
        <w:jc w:val="center"/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</w:pPr>
      <w:r>
        <w:rPr>
          <w:rFonts w:asciiTheme="minorHAnsi" w:hAnsiTheme="minorHAnsi" w:eastAsiaTheme="minorEastAsia" w:cstheme="minorBidi"/>
          <w:b/>
          <w:bCs/>
          <w:sz w:val="28"/>
          <w:szCs w:val="32"/>
          <w14:ligatures w14:val="standardContextual"/>
        </w:rPr>
        <w:t>案例名称：构建“嗨食安”全链条、全方位、全动员食品安全管理模式</w:t>
      </w:r>
    </w:p>
    <w:p w14:paraId="3543383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一、案例背景</w:t>
      </w:r>
    </w:p>
    <w:p w14:paraId="3B6456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自1994年成立以来，海底捞门店规模持续扩张，员工规模突破10万人，传统以人力为主的食品安全监管方式面临效率瓶颈，存在风险响应滞后、违规行为难以实时捕捉、整改闭环周期长等问题。同时，餐饮行业鼠患、操作不规范等食安事件频发，对企业品牌构成潜在威胁。为了响应国家市场监督管理总局发布的《食品生产经营企业落实食品安全主体责任监督管理规定》《企业食品安全管理人员监督抽查考核指南》等政策要求，落实企业主体责任。海底捞企业坚持将食品安全作为发展核心，需要构建更加系统化、智能化、全员化的管理模式，以适应规模化、连锁化经营的需求，提升管理效率与风险防控能力。推动从“人防”向“技防+人防”结合的战略转型，利用数字化、智能化手段实现对食品安全风险的精准防控，提升管理效率。</w:t>
      </w:r>
    </w:p>
    <w:p w14:paraId="3A2CCA2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2. 实施目的</w:t>
      </w:r>
    </w:p>
    <w:p w14:paraId="3D5F5B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为破解传统食安监管中风险识别滞后、整改闭环不完整、全员参与度不足等瓶颈，实现从被动应对向主动预防的战略转型。建立全链条、全方位、全动员的"嗨食安"管理模式，通过AI智能监控、三级数字化责任体系、全员培训考核等机制，实现风险实时预警、整改闭环管理、员工行为规范，最终降低食安异常事件、提升客户满意度。</w:t>
      </w:r>
    </w:p>
    <w:p w14:paraId="4C254BDA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二、实施过程与路径</w:t>
      </w:r>
    </w:p>
    <w:p w14:paraId="3988F6B9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hint="default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1、为了实现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全链条、全方位、全动员的“嗨食安”管理模式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持续迭代推进（典型案例时段：2025年1月-6月，其中AI系统、三级管控体系、证照系统等为前期已上线，专项活动周期明确）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eastAsia="zh-CN"/>
        </w:rPr>
        <w:t>，</w:t>
      </w:r>
      <w:r>
        <w:rPr>
          <w:rFonts w:hint="eastAsia"/>
          <w:b w:val="0"/>
          <w:i w:val="0"/>
          <w:strike w:val="0"/>
          <w:color w:val="auto"/>
          <w:sz w:val="24"/>
          <w:u w:val="none"/>
          <w:lang w:val="en-US" w:eastAsia="zh-CN"/>
        </w:rPr>
        <w:t>通过如下步骤实现：</w:t>
      </w:r>
    </w:p>
    <w:p w14:paraId="6A2EF16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步骤一：系统梳理管控要点</w:t>
      </w:r>
    </w:p>
    <w:p w14:paraId="668981A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系统梳理顾客流、产品流、营运流的食品安全管控要点，建立动态风险管控清单，明确各层级责任主体。</w:t>
      </w:r>
    </w:p>
    <w:p w14:paraId="2ED9938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步骤二：建设数字化、智能化基础设施</w:t>
      </w:r>
    </w:p>
    <w:p w14:paraId="705F72A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自主研发"AI智能食安监管系统"，覆盖门店全作业流程与场景，搭载18类违规行为识别算法。</w:t>
      </w:r>
    </w:p>
    <w:p w14:paraId="019B611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构建“总部-大区-门店”三级数字化日、周、月主体责任监管体系，开发移动端APP主体责任系统。</w:t>
      </w:r>
    </w:p>
    <w:p w14:paraId="41DDFD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搭建“总部-门店”两级数字化证照管理系统，引入OCR识别与三级预警机制。</w:t>
      </w:r>
    </w:p>
    <w:p w14:paraId="3D50705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步骤三：转化落实在日常管控机制</w:t>
      </w:r>
    </w:p>
    <w:p w14:paraId="59D483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将风险管控清单嵌入日常管控机制，利用信息化手段形成PDCA管理循环。</w:t>
      </w:r>
    </w:p>
    <w:p w14:paraId="67AFEEE6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步骤四：开展全员专项活动</w:t>
      </w:r>
    </w:p>
    <w:p w14:paraId="2C511B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2025年1-4月开展“315食品安全攻坚行动”，构建“培训-实践-认证-激励”四维机制。</w:t>
      </w:r>
    </w:p>
    <w:p w14:paraId="5733153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2025年4-6月组织“责任铸盾·管理赋能”十万人次食安大练兵行动，建立“培训-考核-应用”三阶闭环。</w:t>
      </w:r>
    </w:p>
    <w:p w14:paraId="5BD2ED1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步骤五：建立长效工作机制</w:t>
      </w:r>
    </w:p>
    <w:p w14:paraId="387312C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构建“数据驱动改善”模型，开发违规场景仿真培训系统；将专项活动方法论固化为《食安管理指南》；建立统一的食品安全人才培养系统。</w:t>
      </w:r>
    </w:p>
    <w:p w14:paraId="38BEF5A2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在推进过程中，海底捞也面临了多重困难与挑战。AI算法在复杂餐饮场景（光照、遮挡、人员密度高）中的识别准确率初期不达标，容易出现误报或漏报。全国数千家门店、超10万员工对新系统、新流程的接受度不一，部分门店存在执行惰性。日周月管控数据量庞大，如何有效整合、分析并驱动改善面临挑战。</w:t>
      </w:r>
    </w:p>
    <w:p w14:paraId="57CA694F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对此，海底捞从以下方面应对：持续优化算法，持续采集门店真实场景数据，迭代训练模型，增加多角度摄像头覆盖，提高识别精度；建立激励机制，建立"AI监管红黑榜"周通报机制，对表现优秀门店及个人给予评优激励，对问题门店公示帮扶；搭建数字化驾驶舱，建立食安大数据分析中心，形成风险管控的数据驾驶舱，对各营运总部进行评比和考核，推动数据驱动管理；并对方案进行优化，初期AI仅做预警，后增加"追踪整改"功能，形成闭环；初期证照预警周期较长，后优化为"30-15-7天"三级预警。</w:t>
      </w:r>
    </w:p>
    <w:p w14:paraId="4D190418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三、成果与价值</w:t>
      </w:r>
    </w:p>
    <w:p w14:paraId="1DB48FC0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hint="default" w:eastAsia="宋体"/>
          <w:b/>
          <w:bCs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color w:val="0055CC"/>
        </w:rPr>
        <w:t>1. 创新点。在理念创新方面，推动从"人防"向"技防+人防"结合的战略转型，利用数字化手段实现精准防控。在技术创新方面，自主研发AI智能食安监管系统，搭载18类违规行为视觉识别算法，实现"实时监测—自动预警—快速整改"闭环。在管理创新方面，构建三级数字化主体责任体系、全员食安大练兵模式、智能化证照管理方案，形成体系化管理模式。</w:t>
      </w:r>
    </w:p>
    <w:p w14:paraId="5F77DF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03FD66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1E506A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0452931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firstLine="482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1DBEBE4F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2. 应用成效（含数据）</w:t>
      </w:r>
    </w:p>
    <w:p w14:paraId="141B042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1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经济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效益</w:t>
      </w:r>
    </w:p>
    <w:p w14:paraId="1065A9E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从整体数据来看，食安异常总数由2025年4月的10,237件下降至6月的6,142件，降幅达40%。分类来看，环境管理方面成效突出，垃圾桶未及时加盖问题的周均发生率下降53%；操作规范方面，连续5周保持"零踩踏操作台"纪录；人员管理方面，工服穿戴异常率稳定控制在0.3%以下；证照管理方面，累计预警过期风险500次，整改完成率100%，避免因证照失效导致的经营中断或处罚。</w:t>
      </w:r>
    </w:p>
    <w:p w14:paraId="585807A0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528990E9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3973D94D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428E2DA1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739E4CC1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2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社会效益</w:t>
      </w:r>
    </w:p>
    <w:p w14:paraId="509A3E8C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在全员参与方面，315食品安全攻坚行动累计开展食安现场达标行动3,954店次，实现100%门店参与。在人才梯队建设方面，共评选出门店食安达人3,954名、大区食安标兵168名、全国食安大国手10名，形成三级人才认证体系。在培训覆盖方面，食安大练兵首阶段参与52,097人，完成课程30,845人，17,056人通过标准化考试（含719名店经理、916名专职食品安全员）；异物防控微课堂完成76,890人次学习考核。在客户满意度方面，通过降低异物客诉等举措有效提升客户满意度（具体数据可补充）。在政策合规方面，实现新规发布后100日内完成全员贯标。</w:t>
      </w:r>
    </w:p>
    <w:p w14:paraId="7D1BB10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60D4CB5F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3E19F46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0A54E859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6D2F85B4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2" w:firstLineChars="200"/>
        <w:jc w:val="both"/>
        <w:textAlignment w:val="auto"/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 w:val="0"/>
          <w:i w:val="0"/>
          <w:strike w:val="0"/>
          <w:color w:val="auto"/>
          <w:sz w:val="24"/>
          <w:u w:val="none"/>
        </w:rPr>
        <w:t>3. 推广复制价值</w:t>
      </w:r>
    </w:p>
    <w:p w14:paraId="204BF89F">
      <w:pPr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适用场景：适用于大型连锁餐饮企业、食品加工企业、零售生鲜等需要规模化食品安全管控的行业；尤其适合门店数量多、分布广、人员流动性大的企业。</w:t>
      </w:r>
    </w:p>
    <w:p w14:paraId="12A41ECD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可推广的关键要素</w:t>
      </w:r>
    </w:p>
    <w:p w14:paraId="01774B35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标准化AI算法包：18类违规识别模型可迁移至同类餐饮或食品经营场景，只需针对性训练。</w:t>
      </w:r>
    </w:p>
    <w:p w14:paraId="72201360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三级数字化管控体系：日周月排查系统+驾驶舱考核机制，可适配不同规模企业的组织架构。</w:t>
      </w:r>
    </w:p>
    <w:p w14:paraId="1BC47B1C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证照管理方案：OCR+三级预警系统可独立复制至任何需要资质证照管理的行业（如药店、便利店、酒店）。</w:t>
      </w:r>
    </w:p>
    <w:p w14:paraId="2E41BE3D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全员培训考核模式：学习平台闯关+政策响应机制，可用于其他合规性培训。</w:t>
      </w:r>
    </w:p>
    <w:p w14:paraId="5DAEFF1C">
      <w:pPr>
        <w:pStyle w:val="4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0" w:leftChars="0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b/>
        </w:rPr>
        <w:t>注意事项</w:t>
      </w:r>
    </w:p>
    <w:p w14:paraId="61CC9C43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color w:val="0055CC"/>
        </w:rPr>
        <w:t>此外，该方案的实施亦需关注以下方面：AI系统需要一定的硬件投入（摄像头、算力）及场景数据训练，中小企业可考虑轻量化方案或云服务；三级管控体系依赖于企业数字化基础和组织执行力，建议分阶段推进；全员大练兵需要强大的学习平台支持，可借助第三方企业学习平台实现。</w:t>
      </w:r>
    </w:p>
    <w:p w14:paraId="05C62FF5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/>
    </w:p>
    <w:p w14:paraId="45938973">
      <w:pPr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359" w:leftChars="171" w:firstLine="480" w:firstLineChars="200"/>
        <w:jc w:val="both"/>
        <w:textAlignment w:val="auto"/>
        <w:rPr>
          <w:rFonts w:hint="eastAsia" w:ascii="仿宋" w:hAnsi="仿宋" w:eastAsia="仿宋"/>
          <w:color w:val="333333"/>
          <w:spacing w:val="-6"/>
          <w:sz w:val="28"/>
          <w:szCs w:val="28"/>
          <w:shd w:val="clear" w:color="auto" w:fill="FFFFFF"/>
        </w:rPr>
      </w:pPr>
      <w:bookmarkStart w:id="9" w:name="_GoBack"/>
      <w:bookmarkEnd w:id="9"/>
      <w:r/>
    </w:p>
    <w:sectPr>
      <w:footerReference r:id="rId4" w:type="first"/>
      <w:footerReference r:id="rId3" w:type="default"/>
      <w:pgSz w:w="11906" w:h="16838"/>
      <w:pgMar w:top="851" w:right="1304" w:bottom="851" w:left="1304" w:header="851" w:footer="510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130126"/>
    </w:sdtPr>
    <w:sdtContent>
      <w:p w14:paraId="56F76F7E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D7D2B28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D8790">
    <w:pPr>
      <w:pStyle w:val="8"/>
      <w:jc w:val="center"/>
    </w:pPr>
  </w:p>
  <w:p w14:paraId="7D0669DD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2D694E"/>
    <w:multiLevelType w:val="singleLevel"/>
    <w:tmpl w:val="ED2D69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330B373"/>
    <w:multiLevelType w:val="singleLevel"/>
    <w:tmpl w:val="F330B3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3AA6F53C"/>
    <w:multiLevelType w:val="singleLevel"/>
    <w:tmpl w:val="3AA6F5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56178222"/>
    <w:multiLevelType w:val="singleLevel"/>
    <w:tmpl w:val="561782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7B01D39"/>
    <w:multiLevelType w:val="singleLevel"/>
    <w:tmpl w:val="77B01D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70146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300A82"/>
    <w:rsid w:val="00301452"/>
    <w:rsid w:val="00306151"/>
    <w:rsid w:val="0030735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42B80"/>
    <w:rsid w:val="0065360C"/>
    <w:rsid w:val="00653AD8"/>
    <w:rsid w:val="00656C5D"/>
    <w:rsid w:val="0066259E"/>
    <w:rsid w:val="00675FA8"/>
    <w:rsid w:val="006804F9"/>
    <w:rsid w:val="0068061B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32DB8"/>
    <w:rsid w:val="00B345F4"/>
    <w:rsid w:val="00B4188B"/>
    <w:rsid w:val="00B446B7"/>
    <w:rsid w:val="00B44CEC"/>
    <w:rsid w:val="00B56496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C3E0D"/>
    <w:rsid w:val="00BC6320"/>
    <w:rsid w:val="00BC682D"/>
    <w:rsid w:val="00BC7E6F"/>
    <w:rsid w:val="00BD04D1"/>
    <w:rsid w:val="00BD3760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E102F"/>
    <w:rsid w:val="00CE6AC0"/>
    <w:rsid w:val="00CF0503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67BA"/>
    <w:rsid w:val="00EB2EA5"/>
    <w:rsid w:val="00EC36CC"/>
    <w:rsid w:val="00EE1271"/>
    <w:rsid w:val="00EF3453"/>
    <w:rsid w:val="00F040B1"/>
    <w:rsid w:val="00F04333"/>
    <w:rsid w:val="00F11333"/>
    <w:rsid w:val="00F233DC"/>
    <w:rsid w:val="00F26A55"/>
    <w:rsid w:val="00F2760B"/>
    <w:rsid w:val="00F30D92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182ED7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73A38EF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4467430"/>
    <w:rsid w:val="16021A7C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3C5FFF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1C35B7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AC97E97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5C26CD"/>
    <w:rsid w:val="6BBB556A"/>
    <w:rsid w:val="6C6C15BD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7A445B"/>
    <w:rsid w:val="7AC25029"/>
    <w:rsid w:val="7B160627"/>
    <w:rsid w:val="7B175F46"/>
    <w:rsid w:val="7CF12EC2"/>
    <w:rsid w:val="7D314531"/>
    <w:rsid w:val="7E3F1C43"/>
    <w:rsid w:val="7E9A3EA4"/>
    <w:rsid w:val="7FB5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3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page number"/>
    <w:basedOn w:val="14"/>
    <w:autoRedefine/>
    <w:qFormat/>
    <w:uiPriority w:val="0"/>
  </w:style>
  <w:style w:type="character" w:styleId="17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标题 3 字符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szCs w:val="24"/>
      <w:lang w:val="en-GB"/>
    </w:rPr>
  </w:style>
  <w:style w:type="character" w:customStyle="1" w:styleId="22">
    <w:name w:val="批注框文本 字符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页眉 字符"/>
    <w:basedOn w:val="14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页脚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name"/>
    <w:qFormat/>
    <w:uiPriority w:val="0"/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8">
    <w:name w:val="_Style 19"/>
    <w:basedOn w:val="1"/>
    <w:next w:val="21"/>
    <w:qFormat/>
    <w:uiPriority w:val="34"/>
    <w:pPr>
      <w:ind w:firstLine="420" w:firstLineChars="200"/>
    </w:pPr>
  </w:style>
  <w:style w:type="character" w:customStyle="1" w:styleId="29">
    <w:name w:val="未处理的提及3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styleId="3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31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未处理的提及4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2665</Words>
  <Characters>2836</Characters>
  <Lines>24</Lines>
  <Paragraphs>6</Paragraphs>
  <TotalTime>10</TotalTime>
  <ScaleCrop>false</ScaleCrop>
  <LinksUpToDate>false</LinksUpToDate>
  <CharactersWithSpaces>2876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2024-09-12T05:47:00Z</dcterms:created>
  <dc:creator>dell</dc:creator>
  <cp:lastModifiedBy>张志英</cp:lastModifiedBy>
  <cp:lastPrinted>2025-06-05T01:01:00Z</cp:lastPrinted>
  <dcterms:modified xsi:type="dcterms:W3CDTF">2026-04-27T11:46:03Z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809301B26DB44DCEBE6AC2083C0BA662_13</vt:lpwstr>
  </property>
  <property fmtid="{D5CDD505-2E9C-101B-9397-08002B2CF9AE}" pid="4" name="KSOTemplateDocerSaveRecord">
    <vt:lpwstr>eyJoZGlkIjoiN2YzNjBkOTgyNWQ1YTMxYzM3MzMwNWFiODNmOWIzYWMiLCJ1c2VySWQiOiIxMjQ4MzY5ODMwIn0=</vt:lpwstr>
  </property>
</Properties>
</file>