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A28BF">
      <w:pPr>
        <w:spacing w:line="360" w:lineRule="auto"/>
        <w:jc w:val="left"/>
        <w:rPr>
          <w:rFonts w:hint="eastAsia" w:ascii="仿宋" w:hAnsi="仿宋" w:eastAsia="仿宋"/>
          <w:b/>
          <w:sz w:val="30"/>
          <w:szCs w:val="30"/>
        </w:rPr>
      </w:pPr>
    </w:p>
    <w:p w14:paraId="34F905F6">
      <w:pPr>
        <w:spacing w:after="160" w:line="360" w:lineRule="auto"/>
        <w:jc w:val="center"/>
        <w:rPr>
          <w:rFonts w:asciiTheme="minorHAnsi" w:hAnsiTheme="minorHAnsi" w:eastAsiaTheme="minorEastAsia" w:cstheme="minorBidi"/>
          <w:b/>
          <w:bCs/>
          <w:sz w:val="28"/>
          <w:szCs w:val="32"/>
          <w14:ligatures w14:val="standardContextual"/>
        </w:rPr>
      </w:pPr>
      <w:r>
        <w:rPr>
          <w:rFonts w:asciiTheme="minorHAnsi" w:hAnsiTheme="minorHAnsi" w:eastAsiaTheme="minorEastAsia" w:cstheme="minorBidi"/>
          <w:b/>
          <w:bCs/>
          <w:sz w:val="28"/>
          <w:szCs w:val="32"/>
          <w14:ligatures w14:val="standardContextual"/>
          <w:highlight w:val="yellow"/>
        </w:rPr>
        <w:t>海底捞：构建“嗨食安”全链条、全方位、全动员食品安全管理模式</w:t>
      </w:r>
    </w:p>
    <w:p>
      <w:r>
        <w:rPr>
          <w:highlight w:val="yellow"/>
        </w:rPr>
        <w:t>（该案例入编CCFA 2026年食品安全与质量提升创新实践案例集——管理体系与制度创新方向)</w:t>
      </w:r>
    </w:p>
    <w:p w14:paraId="35433838">
      <w:pPr>
        <w:pStyle w:val="3"/>
        <w:pageBreakBefore w:val="0"/>
        <w:widowControl w:val="0"/>
        <w:kinsoku/>
        <w:wordWrap/>
        <w:overflowPunct/>
        <w:topLinePunct w:val="0"/>
        <w:autoSpaceDE/>
        <w:autoSpaceDN/>
        <w:bidi w:val="0"/>
        <w:adjustRightInd/>
        <w:snapToGrid/>
        <w:spacing w:after="120" w:line="240" w:lineRule="auto"/>
        <w:ind w:left="0" w:leftChars="0" w:firstLine="482" w:firstLineChars="200"/>
        <w:jc w:val="both"/>
        <w:textAlignment w:val="auto"/>
        <w:rPr>
          <w:rFonts w:eastAsia="宋体"/>
          <w:b/>
          <w:bCs w:val="0"/>
          <w:i w:val="0"/>
          <w:strike w:val="0"/>
          <w:color w:val="auto"/>
          <w:sz w:val="24"/>
          <w:u w:val="none"/>
        </w:rPr>
      </w:pPr>
      <w:r>
        <w:rPr>
          <w:rFonts w:eastAsia="宋体"/>
          <w:b/>
          <w:bCs w:val="0"/>
          <w:i w:val="0"/>
          <w:strike w:val="0"/>
          <w:color w:val="auto"/>
          <w:sz w:val="24"/>
          <w:u w:val="none"/>
        </w:rPr>
        <w:t>一、案例背景</w:t>
      </w:r>
    </w:p>
    <w:p w14:paraId="3B645622">
      <w:pPr>
        <w:pageBreakBefore w:val="0"/>
        <w:widowControl w:val="0"/>
        <w:numPr>
          <w:ilvl w:val="0"/>
          <w:numId w:val="0"/>
        </w:numPr>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自1994年成立以来，海底捞门店规模持续扩大，员工超10万人，传统以人力为主的食品安全监管方式面临效率瓶颈，存在风险响应滞后、违规行为难以实时捕捉、整改闭环周期长等问题。同时，餐饮行业鼠患、操作不规范等食安事件频发，对企业品牌构成潜在威胁</w:t>
      </w:r>
      <w:r>
        <w:rPr>
          <w:rFonts w:hint="eastAsia"/>
          <w:b w:val="0"/>
          <w:i w:val="0"/>
          <w:strike w:val="0"/>
          <w:color w:val="auto"/>
          <w:sz w:val="24"/>
          <w:u w:val="none"/>
          <w:lang w:eastAsia="zh-CN"/>
        </w:rPr>
        <w:t>。</w:t>
      </w:r>
      <w:r>
        <w:rPr>
          <w:rFonts w:hint="eastAsia"/>
          <w:b w:val="0"/>
          <w:i w:val="0"/>
          <w:strike w:val="0"/>
          <w:color w:val="auto"/>
          <w:sz w:val="24"/>
          <w:u w:val="none"/>
          <w:lang w:val="en-US" w:eastAsia="zh-CN"/>
        </w:rPr>
        <w:t>为了</w:t>
      </w:r>
      <w:r>
        <w:rPr>
          <w:rFonts w:eastAsia="宋体"/>
          <w:b w:val="0"/>
          <w:i w:val="0"/>
          <w:strike w:val="0"/>
          <w:color w:val="auto"/>
          <w:sz w:val="24"/>
          <w:u w:val="none"/>
        </w:rPr>
        <w:t>响应国家市场监督管理总局发布的《食品生产经营企业落实食品安全主体责任监督管理规定》《企业食品安全管理人员监督抽查考核指南》等政策要求，落实企业主体责任</w:t>
      </w:r>
      <w:r>
        <w:rPr>
          <w:rFonts w:hint="eastAsia"/>
          <w:b w:val="0"/>
          <w:i w:val="0"/>
          <w:strike w:val="0"/>
          <w:color w:val="auto"/>
          <w:sz w:val="24"/>
          <w:u w:val="none"/>
          <w:lang w:eastAsia="zh-CN"/>
        </w:rPr>
        <w:t>。</w:t>
      </w:r>
      <w:r>
        <w:rPr>
          <w:rFonts w:hint="eastAsia"/>
          <w:b w:val="0"/>
          <w:i w:val="0"/>
          <w:strike w:val="0"/>
          <w:color w:val="auto"/>
          <w:sz w:val="24"/>
          <w:u w:val="none"/>
          <w:lang w:val="en-US" w:eastAsia="zh-CN"/>
          <w:highlight w:val="yellow"/>
        </w:rPr>
        <w:t/>
      </w:r>
      <w:r>
        <w:rPr>
          <w:rFonts w:eastAsia="宋体"/>
          <w:b w:val="0"/>
          <w:i w:val="0"/>
          <w:strike w:val="0"/>
          <w:color w:val="auto"/>
          <w:sz w:val="24"/>
          <w:u w:val="none"/>
          <w:highlight w:val="yellow"/>
        </w:rPr>
        <w:t>坚持将食品安全作为发展核心，需要构建更加系统化、智能化、全员化的管理模式，以适应规模化、连锁化经营的需求，提升管理效率与风险防控能力。推动从“人防”向“技防+人防”结合的战略转型，利用数字化、智能化手段实现对食品安全风险的精准防控，提升管理效率。</w:t>
      </w:r>
    </w:p>
    <w:p w14:paraId="3D5F5B1D">
      <w:pPr>
        <w:pageBreakBefore w:val="0"/>
        <w:widowControl w:val="0"/>
        <w:numPr>
          <w:ilvl w:val="0"/>
          <w:numId w:val="0"/>
        </w:numPr>
        <w:kinsoku/>
        <w:wordWrap/>
        <w:overflowPunct/>
        <w:topLinePunct w:val="0"/>
        <w:autoSpaceDE/>
        <w:autoSpaceDN/>
        <w:bidi w:val="0"/>
        <w:adjustRightInd/>
        <w:snapToGrid/>
        <w:spacing w:before="0" w:after="120" w:line="240" w:lineRule="auto"/>
        <w:ind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rPr>
        <w:t>为了</w:t>
      </w:r>
      <w:r>
        <w:rPr>
          <w:rFonts w:eastAsia="宋体"/>
          <w:b w:val="0"/>
          <w:i w:val="0"/>
          <w:strike w:val="0"/>
          <w:color w:val="auto"/>
          <w:sz w:val="24"/>
          <w:u w:val="none"/>
          <w:highlight w:val="yellow"/>
        </w:rPr>
        <w:t>解决传统食安监管中风险识别滞后、整改闭环不完整、全员参与度不足等问题，实现从被动应对到主动预防的转变。建立全链条、全方位、全动员的“嗨食安”管理模式，通过AI智能监控、三级数字化责任体系、全员培训考核等机制，实现风险实时预警、整改闭环管理、员工行为规范，最终降低食安异常发生率、提升客户满意度。</w:t>
      </w:r>
    </w:p>
    <w:p w14:paraId="4C254BDA">
      <w:pPr>
        <w:pStyle w:val="3"/>
        <w:pageBreakBefore w:val="0"/>
        <w:widowControl w:val="0"/>
        <w:kinsoku/>
        <w:wordWrap/>
        <w:overflowPunct/>
        <w:topLinePunct w:val="0"/>
        <w:autoSpaceDE/>
        <w:autoSpaceDN/>
        <w:bidi w:val="0"/>
        <w:adjustRightInd/>
        <w:snapToGrid/>
        <w:spacing w:after="120" w:line="240" w:lineRule="auto"/>
        <w:ind w:left="0" w:leftChars="0" w:firstLine="482" w:firstLineChars="200"/>
        <w:jc w:val="both"/>
        <w:textAlignment w:val="auto"/>
        <w:rPr>
          <w:rFonts w:eastAsia="宋体"/>
          <w:b/>
          <w:bCs w:val="0"/>
          <w:i w:val="0"/>
          <w:strike w:val="0"/>
          <w:color w:val="auto"/>
          <w:sz w:val="24"/>
          <w:u w:val="none"/>
        </w:rPr>
      </w:pPr>
      <w:r>
        <w:rPr>
          <w:rFonts w:eastAsia="宋体"/>
          <w:b/>
          <w:bCs w:val="0"/>
          <w:i w:val="0"/>
          <w:strike w:val="0"/>
          <w:color w:val="auto"/>
          <w:sz w:val="24"/>
          <w:u w:val="none"/>
        </w:rPr>
        <w:t>二、实施过程与路径</w:t>
      </w:r>
    </w:p>
    <w:p w14:paraId="3988F6B9">
      <w:pPr>
        <w:pStyle w:val="4"/>
        <w:pageBreakBefore w:val="0"/>
        <w:widowControl w:val="0"/>
        <w:kinsoku/>
        <w:wordWrap/>
        <w:overflowPunct/>
        <w:topLinePunct w:val="0"/>
        <w:autoSpaceDE/>
        <w:autoSpaceDN/>
        <w:bidi w:val="0"/>
        <w:adjustRightInd/>
        <w:snapToGrid/>
        <w:spacing w:before="0" w:after="120" w:line="240" w:lineRule="auto"/>
        <w:ind w:left="0" w:leftChars="0" w:firstLine="480" w:firstLineChars="200"/>
        <w:jc w:val="both"/>
        <w:textAlignment w:val="auto"/>
        <w:rPr>
          <w:rFonts w:hint="default" w:eastAsia="宋体"/>
          <w:b/>
          <w:bCs/>
          <w:i w:val="0"/>
          <w:strike w:val="0"/>
          <w:color w:val="auto"/>
          <w:sz w:val="24"/>
          <w:u w:val="none"/>
          <w:lang w:val="en-US" w:eastAsia="zh-CN"/>
        </w:rPr>
      </w:pPr>
      <w:r>
        <w:rPr>
          <w:rFonts w:hint="eastAsia"/>
          <w:b w:val="0"/>
          <w:i w:val="0"/>
          <w:strike w:val="0"/>
          <w:color w:val="auto"/>
          <w:sz w:val="24"/>
          <w:u w:val="none"/>
          <w:lang w:val="en-US" w:eastAsia="zh-CN"/>
          <w:highlight w:val="yellow"/>
        </w:rPr>
        <w:t>为落地“嗨食安”管理模式</w:t>
      </w:r>
      <w:r>
        <w:rPr>
          <w:rFonts w:eastAsia="宋体"/>
          <w:b w:val="0"/>
          <w:i w:val="0"/>
          <w:strike w:val="0"/>
          <w:color w:val="auto"/>
          <w:sz w:val="24"/>
          <w:u w:val="none"/>
        </w:rPr>
        <w:t/>
      </w:r>
      <w:r>
        <w:rPr>
          <w:rFonts w:hint="eastAsia"/>
          <w:b w:val="0"/>
          <w:i w:val="0"/>
          <w:strike w:val="0"/>
          <w:color w:val="auto"/>
          <w:sz w:val="24"/>
          <w:u w:val="none"/>
          <w:lang w:eastAsia="zh-CN"/>
        </w:rPr>
        <w:t>，</w:t>
      </w:r>
      <w:r>
        <w:rPr>
          <w:rFonts w:eastAsia="宋体"/>
          <w:b w:val="0"/>
          <w:i w:val="0"/>
          <w:strike w:val="0"/>
          <w:color w:val="auto"/>
          <w:sz w:val="24"/>
          <w:u w:val="none"/>
        </w:rPr>
        <w:t>持续迭代推进（典型案例时段：2025年1月-6月，其中AI系统、三级管控体系、证照系统等为前期已上线，专项活动周期明确）</w:t>
      </w:r>
      <w:r>
        <w:rPr>
          <w:rFonts w:hint="eastAsia"/>
          <w:b w:val="0"/>
          <w:i w:val="0"/>
          <w:strike w:val="0"/>
          <w:color w:val="auto"/>
          <w:sz w:val="24"/>
          <w:u w:val="none"/>
          <w:lang w:eastAsia="zh-CN"/>
        </w:rPr>
        <w:t>，</w:t>
      </w:r>
      <w:r>
        <w:rPr>
          <w:rFonts w:hint="eastAsia"/>
          <w:b w:val="0"/>
          <w:i w:val="0"/>
          <w:strike w:val="0"/>
          <w:color w:val="auto"/>
          <w:sz w:val="24"/>
          <w:u w:val="none"/>
          <w:lang w:val="en-US" w:eastAsia="zh-CN"/>
          <w:highlight w:val="yellow"/>
        </w:rPr>
        <w:t>通过以下五个步骤实现：</w:t>
      </w:r>
    </w:p>
    <w:p w14:paraId="6A2EF16E">
      <w:pPr>
        <w:pStyle w:val="5"/>
        <w:pageBreakBefore w:val="0"/>
        <w:widowControl w:val="0"/>
        <w:kinsoku/>
        <w:wordWrap/>
        <w:overflowPunct/>
        <w:topLinePunct w:val="0"/>
        <w:autoSpaceDE/>
        <w:autoSpaceDN/>
        <w:bidi w:val="0"/>
        <w:adjustRightInd/>
        <w:snapToGrid/>
        <w:spacing w:before="0" w:after="120" w:line="240" w:lineRule="auto"/>
        <w:ind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步骤一：系统梳理管控要点</w:t>
      </w:r>
    </w:p>
    <w:p w14:paraId="668981A1">
      <w:pPr>
        <w:pageBreakBefore w:val="0"/>
        <w:widowControl w:val="0"/>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系统分解及梳理顾客流、产品流、营运流的食品安全管控要点，建立动态风险管控清单，明确各层级责任主体。</w:t>
      </w:r>
    </w:p>
    <w:p w14:paraId="2ED99382">
      <w:pPr>
        <w:pStyle w:val="5"/>
        <w:pageBreakBefore w:val="0"/>
        <w:widowControl w:val="0"/>
        <w:kinsoku/>
        <w:wordWrap/>
        <w:overflowPunct/>
        <w:topLinePunct w:val="0"/>
        <w:autoSpaceDE/>
        <w:autoSpaceDN/>
        <w:bidi w:val="0"/>
        <w:adjustRightInd/>
        <w:snapToGrid/>
        <w:spacing w:before="0" w:after="120" w:line="240" w:lineRule="auto"/>
        <w:ind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步骤二：建设数字化、智能化基础设施</w:t>
      </w:r>
    </w:p>
    <w:p w14:paraId="705F72A8">
      <w:pPr>
        <w:pageBreakBefore w:val="0"/>
        <w:widowControl w:val="0"/>
        <w:numPr>
          <w:ilvl w:val="0"/>
          <w:numId w:val="0"/>
        </w:numPr>
        <w:kinsoku/>
        <w:wordWrap/>
        <w:overflowPunct/>
        <w:topLinePunct w:val="0"/>
        <w:autoSpaceDE/>
        <w:autoSpaceDN/>
        <w:bidi w:val="0"/>
        <w:adjustRightInd/>
        <w:snapToGrid/>
        <w:spacing w:before="0"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自主研发“AI智能食安监管系统”，覆盖门店全作业流程和全场景，搭载18类违规行为识别算法。</w:t>
      </w:r>
    </w:p>
    <w:p w14:paraId="019B6114">
      <w:pPr>
        <w:pageBreakBefore w:val="0"/>
        <w:widowControl w:val="0"/>
        <w:numPr>
          <w:ilvl w:val="0"/>
          <w:numId w:val="0"/>
        </w:numPr>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构建“总部-大区-门店”三级数字化日、周、月主体责任监管体系，开发移动端APP主体责任系统。</w:t>
      </w:r>
    </w:p>
    <w:p w14:paraId="41DDFD47">
      <w:pPr>
        <w:pageBreakBefore w:val="0"/>
        <w:widowControl w:val="0"/>
        <w:numPr>
          <w:ilvl w:val="0"/>
          <w:numId w:val="0"/>
        </w:numPr>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搭建“总部-门店”两级数字化证照管理系统，引入OCR识别与三级预警机制。</w:t>
      </w:r>
    </w:p>
    <w:p w14:paraId="3D507055">
      <w:pPr>
        <w:pStyle w:val="5"/>
        <w:pageBreakBefore w:val="0"/>
        <w:widowControl w:val="0"/>
        <w:kinsoku/>
        <w:wordWrap/>
        <w:overflowPunct/>
        <w:topLinePunct w:val="0"/>
        <w:autoSpaceDE/>
        <w:autoSpaceDN/>
        <w:bidi w:val="0"/>
        <w:adjustRightInd/>
        <w:snapToGrid/>
        <w:spacing w:before="0" w:after="120" w:line="240" w:lineRule="auto"/>
        <w:ind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步骤三：转化落实在日常管控机制</w:t>
      </w:r>
    </w:p>
    <w:p w14:paraId="59D483CD">
      <w:pPr>
        <w:pageBreakBefore w:val="0"/>
        <w:widowControl w:val="0"/>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将风险管控清单转化至日管控、周排查、月调度机制中，利用信息化手段形成PDCA管理循环。</w:t>
      </w:r>
    </w:p>
    <w:p w14:paraId="67AFEEE6">
      <w:pPr>
        <w:pStyle w:val="5"/>
        <w:pageBreakBefore w:val="0"/>
        <w:widowControl w:val="0"/>
        <w:kinsoku/>
        <w:wordWrap/>
        <w:overflowPunct/>
        <w:topLinePunct w:val="0"/>
        <w:autoSpaceDE/>
        <w:autoSpaceDN/>
        <w:bidi w:val="0"/>
        <w:adjustRightInd/>
        <w:snapToGrid/>
        <w:spacing w:before="0" w:after="120" w:line="240" w:lineRule="auto"/>
        <w:ind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步骤四：开展全员专项活动</w:t>
      </w:r>
    </w:p>
    <w:p w14:paraId="2C511B16">
      <w:pPr>
        <w:pageBreakBefore w:val="0"/>
        <w:widowControl w:val="0"/>
        <w:numPr>
          <w:ilvl w:val="0"/>
          <w:numId w:val="0"/>
        </w:numPr>
        <w:kinsoku/>
        <w:wordWrap/>
        <w:overflowPunct/>
        <w:topLinePunct w:val="0"/>
        <w:autoSpaceDE/>
        <w:autoSpaceDN/>
        <w:bidi w:val="0"/>
        <w:adjustRightInd/>
        <w:snapToGrid/>
        <w:spacing w:before="0"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2025年1-4月开展“315食品安全攻坚行动”，构建“培训-实践-认证-激励”四维机制。</w:t>
      </w:r>
    </w:p>
    <w:p w14:paraId="57331535">
      <w:pPr>
        <w:pageBreakBefore w:val="0"/>
        <w:widowControl w:val="0"/>
        <w:numPr>
          <w:ilvl w:val="0"/>
          <w:numId w:val="0"/>
        </w:numPr>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2025年4-6月组织“责任铸盾·管理赋能”十万人次食安大练兵行动，建立“培训-考核-应用”三阶闭环。</w:t>
      </w:r>
    </w:p>
    <w:p w14:paraId="5BD2ED1B">
      <w:pPr>
        <w:pStyle w:val="5"/>
        <w:pageBreakBefore w:val="0"/>
        <w:widowControl w:val="0"/>
        <w:kinsoku/>
        <w:wordWrap/>
        <w:overflowPunct/>
        <w:topLinePunct w:val="0"/>
        <w:autoSpaceDE/>
        <w:autoSpaceDN/>
        <w:bidi w:val="0"/>
        <w:adjustRightInd/>
        <w:snapToGrid/>
        <w:spacing w:before="0" w:after="120" w:line="240" w:lineRule="auto"/>
        <w:ind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步骤五：建立长效工作机制</w:t>
      </w:r>
    </w:p>
    <w:p w14:paraId="387312CB">
      <w:pPr>
        <w:pageBreakBefore w:val="0"/>
        <w:widowControl w:val="0"/>
        <w:kinsoku/>
        <w:wordWrap/>
        <w:overflowPunct/>
        <w:topLinePunct w:val="0"/>
        <w:autoSpaceDE/>
        <w:autoSpaceDN/>
        <w:bidi w:val="0"/>
        <w:adjustRightInd/>
        <w:snapToGrid/>
        <w:spacing w:after="120" w:line="240" w:lineRule="auto"/>
        <w:ind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构建“数据驱动改善”模型，开发违规场景仿真培训系统；将专项活动方法论固化为《食安管理指南》；建立统一的食品安全人才培养系统。</w:t>
      </w:r>
    </w:p>
    <w:p w14:paraId="38BEF5A2">
      <w:pPr>
        <w:pStyle w:val="4"/>
        <w:pageBreakBefore w:val="0"/>
        <w:widowControl w:val="0"/>
        <w:kinsoku/>
        <w:wordWrap/>
        <w:overflowPunct/>
        <w:topLinePunct w:val="0"/>
        <w:autoSpaceDE/>
        <w:autoSpaceDN/>
        <w:bidi w:val="0"/>
        <w:adjustRightInd/>
        <w:snapToGrid/>
        <w:spacing w:before="0" w:after="120" w:line="240" w:lineRule="auto"/>
        <w:ind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highlight w:val="yellow"/>
        </w:rPr>
        <w:t>为了实现</w:t>
      </w:r>
      <w:r>
        <w:rPr>
          <w:rFonts w:eastAsia="宋体"/>
          <w:b w:val="0"/>
          <w:i w:val="0"/>
          <w:strike w:val="0"/>
          <w:color w:val="auto"/>
          <w:sz w:val="24"/>
          <w:u w:val="none"/>
        </w:rPr>
        <w:t>全链条、全方位、全动员的“嗨食安”管理模式</w:t>
      </w:r>
      <w:r>
        <w:rPr>
          <w:rFonts w:hint="eastAsia"/>
          <w:b w:val="0"/>
          <w:i w:val="0"/>
          <w:strike w:val="0"/>
          <w:color w:val="auto"/>
          <w:sz w:val="24"/>
          <w:u w:val="none"/>
          <w:lang w:eastAsia="zh-CN"/>
        </w:rPr>
        <w:t>，</w:t>
      </w:r>
      <w:r>
        <w:rPr>
          <w:rFonts w:hint="eastAsia"/>
          <w:b w:val="0"/>
          <w:i w:val="0"/>
          <w:strike w:val="0"/>
          <w:color w:val="auto"/>
          <w:sz w:val="24"/>
          <w:u w:val="none"/>
          <w:lang w:val="en-US" w:eastAsia="zh-CN"/>
          <w:highlight w:val="yellow"/>
        </w:rPr>
        <w:t>过程中，海底捞也面临了不少困难与挑战，</w:t>
      </w:r>
      <w:r>
        <w:rPr>
          <w:rFonts w:eastAsia="宋体"/>
          <w:b w:val="0"/>
          <w:i w:val="0"/>
          <w:strike w:val="0"/>
          <w:color w:val="auto"/>
          <w:sz w:val="24"/>
          <w:u w:val="none"/>
        </w:rPr>
        <w:t>AI算法在复杂餐饮场景（光照、遮挡、人员密度高）中的识别准确率初期不达标，容易出现误报或漏报。全国数千家门店、超10万员工对新系统、新流程的接受度不一，部分门店存在执行惰性。日周月管控数据量庞大，如何有效整合、分析并驱动改善面临挑战。</w:t>
      </w:r>
    </w:p>
    <w:p w14:paraId="57CA694F">
      <w:pPr>
        <w:pStyle w:val="5"/>
        <w:pageBreakBefore w:val="0"/>
        <w:widowControl w:val="0"/>
        <w:kinsoku/>
        <w:wordWrap/>
        <w:overflowPunct/>
        <w:topLinePunct w:val="0"/>
        <w:autoSpaceDE/>
        <w:autoSpaceDN/>
        <w:bidi w:val="0"/>
        <w:adjustRightInd/>
        <w:snapToGrid/>
        <w:spacing w:before="0" w:after="120" w:line="240" w:lineRule="auto"/>
        <w:ind w:left="0" w:leftChars="0" w:firstLine="480" w:firstLineChars="200"/>
        <w:jc w:val="both"/>
        <w:textAlignment w:val="auto"/>
        <w:rPr>
          <w:rFonts w:eastAsia="宋体"/>
          <w:b w:val="0"/>
          <w:i w:val="0"/>
          <w:strike w:val="0"/>
          <w:color w:val="auto"/>
          <w:sz w:val="24"/>
          <w:u w:val="none"/>
        </w:rPr>
      </w:pPr>
      <w:r>
        <w:rPr>
          <w:rFonts w:hint="eastAsia" w:eastAsia="宋体"/>
          <w:b w:val="0"/>
          <w:bCs w:val="0"/>
          <w:i w:val="0"/>
          <w:strike w:val="0"/>
          <w:color w:val="auto"/>
          <w:sz w:val="24"/>
          <w:u w:val="none"/>
          <w:lang w:val="en-US" w:eastAsia="zh-CN"/>
          <w:highlight w:val="yellow"/>
        </w:rPr>
        <w:t>对此，海底捞</w:t>
      </w:r>
      <w:r>
        <w:rPr>
          <w:rFonts w:hint="eastAsia" w:eastAsia="宋体"/>
          <w:b w:val="0"/>
          <w:bCs w:val="0"/>
          <w:i w:val="0"/>
          <w:strike w:val="0"/>
          <w:color w:val="auto"/>
          <w:sz w:val="24"/>
          <w:u w:val="none"/>
          <w:lang w:val="en-US" w:eastAsia="zh-CN"/>
          <w:highlight w:val="yellow"/>
        </w:rPr>
        <w:t>持续</w:t>
      </w:r>
      <w:r>
        <w:rPr>
          <w:rFonts w:eastAsia="宋体"/>
          <w:b w:val="0"/>
          <w:bCs w:val="0"/>
          <w:i w:val="0"/>
          <w:strike w:val="0"/>
          <w:color w:val="auto"/>
          <w:sz w:val="24"/>
          <w:u w:val="none"/>
          <w:highlight w:val="yellow"/>
        </w:rPr>
        <w:t>优化算法</w:t>
      </w:r>
      <w:r>
        <w:rPr>
          <w:rFonts w:hint="eastAsia" w:eastAsia="宋体"/>
          <w:b w:val="0"/>
          <w:bCs w:val="0"/>
          <w:i w:val="0"/>
          <w:strike w:val="0"/>
          <w:color w:val="auto"/>
          <w:sz w:val="24"/>
          <w:u w:val="none"/>
          <w:lang w:eastAsia="zh-CN"/>
        </w:rPr>
        <w:t>，</w:t>
      </w:r>
      <w:r>
        <w:rPr>
          <w:rFonts w:eastAsia="宋体"/>
          <w:b w:val="0"/>
          <w:bCs w:val="0"/>
          <w:i w:val="0"/>
          <w:strike w:val="0"/>
          <w:color w:val="auto"/>
          <w:sz w:val="24"/>
          <w:u w:val="none"/>
        </w:rPr>
        <w:t>持续采集门店真实场景数据，迭代训练模型，增加多角度摄像头覆盖，提高识别精度。</w:t>
      </w:r>
      <w:r>
        <w:rPr>
          <w:rFonts w:hint="eastAsia" w:eastAsia="宋体"/>
          <w:b w:val="0"/>
          <w:bCs w:val="0"/>
          <w:i w:val="0"/>
          <w:strike w:val="0"/>
          <w:color w:val="auto"/>
          <w:sz w:val="24"/>
          <w:u w:val="none"/>
          <w:lang w:val="en-US" w:eastAsia="zh-CN"/>
          <w:highlight w:val="yellow"/>
        </w:rPr>
        <w:t>在激励机制方面，</w:t>
      </w:r>
      <w:r>
        <w:rPr>
          <w:rFonts w:eastAsia="宋体"/>
          <w:b w:val="0"/>
          <w:bCs w:val="0"/>
          <w:i w:val="0"/>
          <w:strike w:val="0"/>
          <w:color w:val="auto"/>
          <w:sz w:val="24"/>
          <w:u w:val="none"/>
          <w:highlight w:val="yellow"/>
        </w:rPr>
        <w:t>建立“AI</w:t>
      </w:r>
      <w:r>
        <w:rPr>
          <w:rFonts w:eastAsia="宋体"/>
          <w:b w:val="0"/>
          <w:i w:val="0"/>
          <w:strike w:val="0"/>
          <w:color w:val="auto"/>
          <w:sz w:val="24"/>
          <w:u w:val="none"/>
        </w:rPr>
        <w:t>监管</w:t>
      </w:r>
      <w:r>
        <w:rPr>
          <w:rFonts w:eastAsia="宋体"/>
          <w:b w:val="0"/>
          <w:bCs w:val="0"/>
          <w:i w:val="0"/>
          <w:strike w:val="0"/>
          <w:color w:val="auto"/>
          <w:sz w:val="24"/>
          <w:u w:val="none"/>
        </w:rPr>
        <w:t>红黑榜”周通报机制，对表现优秀门店及个人给予评优激励，对问题门店公示帮扶。</w:t>
      </w:r>
      <w:r>
        <w:rPr>
          <w:rFonts w:hint="eastAsia" w:eastAsia="宋体"/>
          <w:b w:val="0"/>
          <w:bCs w:val="0"/>
          <w:i w:val="0"/>
          <w:strike w:val="0"/>
          <w:color w:val="auto"/>
          <w:sz w:val="24"/>
          <w:u w:val="none"/>
          <w:lang w:val="en-US" w:eastAsia="zh-CN"/>
          <w:highlight w:val="yellow"/>
        </w:rPr>
        <w:t>搭建</w:t>
      </w:r>
      <w:r>
        <w:rPr>
          <w:rFonts w:eastAsia="宋体"/>
          <w:b w:val="0"/>
          <w:bCs w:val="0"/>
          <w:i w:val="0"/>
          <w:strike w:val="0"/>
          <w:color w:val="auto"/>
          <w:sz w:val="24"/>
          <w:u w:val="none"/>
          <w:highlight w:val="yellow"/>
        </w:rPr>
        <w:t>数字化驾驶舱，</w:t>
      </w:r>
      <w:r>
        <w:rPr>
          <w:rFonts w:eastAsia="宋体"/>
          <w:b w:val="0"/>
          <w:i w:val="0"/>
          <w:strike w:val="0"/>
          <w:color w:val="auto"/>
          <w:sz w:val="24"/>
          <w:u w:val="none"/>
        </w:rPr>
        <w:t>建立食安大数据分析中心，形成风险管控的数据驾驶舱，对各营运总部进行评比和考核，推动数据驱动管理。</w:t>
      </w:r>
      <w:r>
        <w:rPr>
          <w:rFonts w:hint="eastAsia" w:eastAsia="宋体"/>
          <w:b w:val="0"/>
          <w:i w:val="0"/>
          <w:strike w:val="0"/>
          <w:color w:val="auto"/>
          <w:sz w:val="24"/>
          <w:u w:val="none"/>
          <w:lang w:val="en-US" w:eastAsia="zh-CN"/>
          <w:highlight w:val="yellow"/>
        </w:rPr>
        <w:t>在方案</w:t>
      </w:r>
      <w:r>
        <w:rPr>
          <w:rFonts w:hint="eastAsia" w:eastAsia="宋体"/>
          <w:b w:val="0"/>
          <w:bCs w:val="0"/>
          <w:i w:val="0"/>
          <w:strike w:val="0"/>
          <w:color w:val="auto"/>
          <w:sz w:val="24"/>
          <w:u w:val="none"/>
          <w:lang w:val="en-US" w:eastAsia="zh-CN"/>
          <w:highlight w:val="yellow"/>
        </w:rPr>
        <w:t>优化</w:t>
      </w:r>
      <w:r>
        <w:rPr>
          <w:rFonts w:eastAsia="宋体"/>
          <w:b w:val="0"/>
          <w:bCs w:val="0"/>
          <w:i w:val="0"/>
          <w:strike w:val="0"/>
          <w:color w:val="auto"/>
          <w:sz w:val="24"/>
          <w:u w:val="none"/>
          <w:highlight w:val="yellow"/>
        </w:rPr>
        <w:t/>
      </w:r>
      <w:r>
        <w:rPr>
          <w:rFonts w:hint="eastAsia" w:eastAsia="宋体"/>
          <w:b w:val="0"/>
          <w:bCs w:val="0"/>
          <w:i w:val="0"/>
          <w:strike w:val="0"/>
          <w:color w:val="auto"/>
          <w:sz w:val="24"/>
          <w:u w:val="none"/>
          <w:lang w:val="en-US" w:eastAsia="zh-CN"/>
          <w:highlight w:val="yellow"/>
        </w:rPr>
        <w:t>方面，</w:t>
      </w:r>
      <w:r>
        <w:rPr>
          <w:rFonts w:eastAsia="宋体"/>
          <w:b w:val="0"/>
          <w:bCs w:val="0"/>
          <w:i w:val="0"/>
          <w:strike w:val="0"/>
          <w:color w:val="auto"/>
          <w:sz w:val="24"/>
          <w:u w:val="none"/>
          <w:highlight w:val="yellow"/>
        </w:rPr>
        <w:t/>
      </w:r>
      <w:r>
        <w:rPr>
          <w:rFonts w:eastAsia="宋体"/>
          <w:b w:val="0"/>
          <w:i w:val="0"/>
          <w:strike w:val="0"/>
          <w:color w:val="auto"/>
          <w:sz w:val="24"/>
          <w:u w:val="none"/>
        </w:rPr>
        <w:t>初期AI仅做预警，后增加“追踪整改”功能，形成闭环；初期证照预警周期较长，后优化为“30-15-7天”三级预警。</w:t>
      </w:r>
    </w:p>
    <w:p w14:paraId="4D190418">
      <w:pPr>
        <w:pStyle w:val="3"/>
        <w:pageBreakBefore w:val="0"/>
        <w:widowControl w:val="0"/>
        <w:kinsoku/>
        <w:wordWrap/>
        <w:overflowPunct/>
        <w:topLinePunct w:val="0"/>
        <w:autoSpaceDE/>
        <w:autoSpaceDN/>
        <w:bidi w:val="0"/>
        <w:adjustRightInd/>
        <w:snapToGrid/>
        <w:spacing w:after="120" w:line="240" w:lineRule="auto"/>
        <w:ind w:left="0" w:leftChars="0" w:firstLine="482" w:firstLineChars="200"/>
        <w:jc w:val="both"/>
        <w:textAlignment w:val="auto"/>
        <w:rPr>
          <w:rFonts w:eastAsia="宋体"/>
          <w:b/>
          <w:bCs w:val="0"/>
          <w:i w:val="0"/>
          <w:strike w:val="0"/>
          <w:color w:val="auto"/>
          <w:sz w:val="24"/>
          <w:u w:val="none"/>
        </w:rPr>
      </w:pPr>
      <w:r>
        <w:rPr>
          <w:rFonts w:eastAsia="宋体"/>
          <w:b/>
          <w:bCs w:val="0"/>
          <w:i w:val="0"/>
          <w:strike w:val="0"/>
          <w:color w:val="auto"/>
          <w:sz w:val="24"/>
          <w:u w:val="none"/>
        </w:rPr>
        <w:t>三、成果与价值</w:t>
      </w:r>
    </w:p>
    <w:p>
      <w:r>
        <w:rPr>
          <w:highlight w:val="yellow"/>
        </w:rPr>
        <w:t>1. 创新点。在理念创新方面，推动从"人防"向"技防+人防"结合的战略转型，利用数字化手段实现精准防控。在技术创新方面，自主研发AI智能食安监管系统，搭载18类违规行为视觉识别算法，实现"实时监测—自动预警—快速整改"闭环。在管理创新方面，构建"总部—大区—门店"三级数字化主体责任体系，日周月排查线上化，数据驾驶舱驱动评比考核。在机制创新方面，建立"培训—实践—认证—激励"和"培训—考核—应用"双闭环的全员食安大练兵模式，超10万人次参与。</w:t>
      </w:r>
    </w:p>
    <w:p w14:paraId="1DBEBE4F">
      <w:pPr>
        <w:pStyle w:val="4"/>
        <w:pageBreakBefore w:val="0"/>
        <w:widowControl w:val="0"/>
        <w:kinsoku/>
        <w:wordWrap/>
        <w:overflowPunct/>
        <w:topLinePunct w:val="0"/>
        <w:autoSpaceDE/>
        <w:autoSpaceDN/>
        <w:bidi w:val="0"/>
        <w:adjustRightInd/>
        <w:snapToGrid/>
        <w:spacing w:before="0" w:after="120" w:line="240" w:lineRule="auto"/>
        <w:ind w:left="0" w:leftChars="0" w:firstLine="482" w:firstLineChars="200"/>
        <w:jc w:val="both"/>
        <w:textAlignment w:val="auto"/>
        <w:rPr>
          <w:rFonts w:eastAsia="宋体"/>
          <w:b/>
          <w:bCs w:val="0"/>
          <w:i w:val="0"/>
          <w:strike w:val="0"/>
          <w:color w:val="auto"/>
          <w:sz w:val="24"/>
          <w:u w:val="none"/>
        </w:rPr>
      </w:pPr>
      <w:r>
        <w:rPr>
          <w:rFonts w:eastAsia="宋体"/>
          <w:b/>
          <w:bCs w:val="0"/>
          <w:i w:val="0"/>
          <w:strike w:val="0"/>
          <w:color w:val="auto"/>
          <w:sz w:val="24"/>
          <w:u w:val="none"/>
        </w:rPr>
        <w:t>2. 应用成效（含数据）</w:t>
      </w:r>
    </w:p>
    <w:p>
      <w:r>
        <w:rPr>
          <w:b/>
        </w:rPr>
        <w:t>（1）经济效益</w:t>
      </w:r>
    </w:p>
    <w:p>
      <w:r>
        <w:rPr>
          <w:highlight w:val="yellow"/>
        </w:rPr>
        <w:t>从整体数据来看，食安异常总数由2025年4月的10,237件下降至6月的6,142件，降幅达40%。分类来看，环境管理方面成效突出，垃圾桶未及时加盖问题的周均发生率下降53%；操作规范方面，连续5周保持"零踩踏操作台"纪录；人员管理方面，工服穿戴异常率稳定控制在0.3%以下。此外，证照管理系统累计预警过期风险500次，整改完成率达100%，有效避免了因证照失效导致的经营中断或处罚。</w:t>
      </w:r>
    </w:p>
    <w:p>
      <w:r>
        <w:rPr>
          <w:b/>
        </w:rPr>
        <w:t>（2）社会效益</w:t>
      </w:r>
    </w:p>
    <w:p>
      <w:r>
        <w:rPr>
          <w:highlight w:val="yellow"/>
        </w:rPr>
        <w:t>在大规模全员参与方面，315食品安全攻坚行动累计开展食安现场达标行动3,954店次，实现100%门店参与。在人才梯队建设方面，共评选出门店食安达人3,954名、大区食安标兵168名、全国食安大国手10名，形成了三级人才认证体系。在培训覆盖方面，食安大练兵首阶段52,097人参与，其中30,845人完成课程学习，17,056人通过标准化考试（含719名店经理、916名专职食品安全员）；异物防控微课堂累计完成76,890人次学习考核。在政策合规方面，海底捞在相关新规发布后100日内完成了全员贯标。客户满意度方面，通过降低异物客诉等措施，客户满意度得到提升（具体数据待补充）。</w:t>
      </w:r>
    </w:p>
    <w:p>
      <w:r>
        <w:rPr>
          <w:b/>
        </w:rPr>
        <w:t>3. 推广复制价值</w:t>
      </w:r>
    </w:p>
    <w:p>
      <w:r>
        <w:rPr>
          <w:highlight w:val="yellow"/>
        </w:rPr>
        <w:t>该模式具有广泛的推广复制价值。在适用场景上，适用于大型连锁餐饮企业、食品加工企业、零售生鲜等需要规模化食品安全管控的行业，尤其适合门店数量多、分布广、人员流动性大的企业。可推广的关键要素包括：标准化AI算法包——18类违规识别模型可迁移至同类餐饮或食品经营场景，只需针对性训练即可投入使用；三级数字化管控体系——日周月排查系统与数据驾驶舱考核机制可适配不同规模企业的组织架构；证照管理方案——OCR识别与三级预警系统可独立复制至任何需要资质证照管理的行业（如药店、便利店、酒店等）；全员培训考核模式——学习平台闯关与政策响应机制可用于其他合规性培训场景。</w:t>
      </w:r>
    </w:p>
    <w:p>
      <w:r>
        <w:rPr>
          <w:highlight w:val="yellow"/>
        </w:rPr>
        <w:t>同时需要注意的是，AI系统需要一定的硬件投入（摄像头、算力）及场景数据训练，中小企业可考虑轻量化方案或云服务；三级管控体系依赖于企业数字化基础和组织执行力，建议分阶段推进；全员大练兵需要强大的学习平台支持，可借助第三方企业学习平台实现。</w:t>
      </w:r>
    </w:p>
    <w:sectPr>
      <w:footerReference r:id="rId4" w:type="first"/>
      <w:footerReference r:id="rId3" w:type="default"/>
      <w:pgSz w:w="11906" w:h="16838"/>
      <w:pgMar w:top="851" w:right="1304" w:bottom="851" w:left="1304" w:header="851"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130126"/>
    </w:sdtPr>
    <w:sdtContent>
      <w:p w14:paraId="56F76F7E">
        <w:pPr>
          <w:pStyle w:val="8"/>
          <w:jc w:val="center"/>
        </w:pPr>
        <w:r>
          <w:fldChar w:fldCharType="begin"/>
        </w:r>
        <w:r>
          <w:instrText xml:space="preserve">PAGE   \* MERGEFORMAT</w:instrText>
        </w:r>
        <w:r>
          <w:fldChar w:fldCharType="separate"/>
        </w:r>
        <w:r>
          <w:rPr>
            <w:lang w:val="zh-CN"/>
          </w:rPr>
          <w:t>2</w:t>
        </w:r>
        <w:r>
          <w:fldChar w:fldCharType="end"/>
        </w:r>
      </w:p>
    </w:sdtContent>
  </w:sdt>
  <w:p w14:paraId="6D7D2B28">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8790">
    <w:pPr>
      <w:pStyle w:val="8"/>
      <w:jc w:val="center"/>
    </w:pPr>
  </w:p>
  <w:p w14:paraId="7D0669DD">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2D694E"/>
    <w:multiLevelType w:val="singleLevel"/>
    <w:tmpl w:val="ED2D694E"/>
    <w:lvl w:ilvl="0" w:tentative="0">
      <w:start w:val="1"/>
      <w:numFmt w:val="bullet"/>
      <w:lvlText w:val=""/>
      <w:lvlJc w:val="left"/>
      <w:pPr>
        <w:ind w:left="720" w:hanging="360"/>
      </w:pPr>
      <w:rPr>
        <w:rFonts w:hint="default" w:ascii="Symbol" w:hAnsi="Symbol" w:cs="Symbol"/>
        <w:sz w:val="20"/>
      </w:rPr>
    </w:lvl>
  </w:abstractNum>
  <w:abstractNum w:abstractNumId="1">
    <w:nsid w:val="F330B373"/>
    <w:multiLevelType w:val="singleLevel"/>
    <w:tmpl w:val="F330B373"/>
    <w:lvl w:ilvl="0" w:tentative="0">
      <w:start w:val="1"/>
      <w:numFmt w:val="bullet"/>
      <w:lvlText w:val=""/>
      <w:lvlJc w:val="left"/>
      <w:pPr>
        <w:ind w:left="720" w:hanging="360"/>
      </w:pPr>
      <w:rPr>
        <w:rFonts w:hint="default" w:ascii="Symbol" w:hAnsi="Symbol" w:cs="Symbol"/>
        <w:sz w:val="20"/>
      </w:rPr>
    </w:lvl>
  </w:abstractNum>
  <w:abstractNum w:abstractNumId="2">
    <w:nsid w:val="3AA6F53C"/>
    <w:multiLevelType w:val="singleLevel"/>
    <w:tmpl w:val="3AA6F53C"/>
    <w:lvl w:ilvl="0" w:tentative="0">
      <w:start w:val="1"/>
      <w:numFmt w:val="bullet"/>
      <w:lvlText w:val=""/>
      <w:lvlJc w:val="left"/>
      <w:pPr>
        <w:ind w:left="720" w:hanging="360"/>
      </w:pPr>
      <w:rPr>
        <w:rFonts w:hint="default" w:ascii="Symbol" w:hAnsi="Symbol" w:cs="Symbol"/>
        <w:sz w:val="20"/>
      </w:rPr>
    </w:lvl>
  </w:abstractNum>
  <w:abstractNum w:abstractNumId="3">
    <w:nsid w:val="56178222"/>
    <w:multiLevelType w:val="singleLevel"/>
    <w:tmpl w:val="56178222"/>
    <w:lvl w:ilvl="0" w:tentative="0">
      <w:start w:val="1"/>
      <w:numFmt w:val="bullet"/>
      <w:lvlText w:val=""/>
      <w:lvlJc w:val="left"/>
      <w:pPr>
        <w:ind w:left="720" w:hanging="360"/>
      </w:pPr>
      <w:rPr>
        <w:rFonts w:hint="default" w:ascii="Symbol" w:hAnsi="Symbol" w:cs="Symbol"/>
        <w:sz w:val="20"/>
      </w:rPr>
    </w:lvl>
  </w:abstractNum>
  <w:abstractNum w:abstractNumId="4">
    <w:nsid w:val="77B01D39"/>
    <w:multiLevelType w:val="singleLevel"/>
    <w:tmpl w:val="77B01D39"/>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xMzUyN2NlNmQ5NzFkODE0NWNhMjlmODFiYWRjYzUifQ=="/>
  </w:docVars>
  <w:rsids>
    <w:rsidRoot w:val="00F9307D"/>
    <w:rsid w:val="000120F0"/>
    <w:rsid w:val="00021F89"/>
    <w:rsid w:val="000226FA"/>
    <w:rsid w:val="00030D6B"/>
    <w:rsid w:val="00037A87"/>
    <w:rsid w:val="000462CC"/>
    <w:rsid w:val="00047197"/>
    <w:rsid w:val="000515F3"/>
    <w:rsid w:val="000516B3"/>
    <w:rsid w:val="00054620"/>
    <w:rsid w:val="00070146"/>
    <w:rsid w:val="00081E75"/>
    <w:rsid w:val="00082DCA"/>
    <w:rsid w:val="00094033"/>
    <w:rsid w:val="00097438"/>
    <w:rsid w:val="000A0947"/>
    <w:rsid w:val="000A1D4A"/>
    <w:rsid w:val="000A7728"/>
    <w:rsid w:val="000B3173"/>
    <w:rsid w:val="000C26A0"/>
    <w:rsid w:val="000C3493"/>
    <w:rsid w:val="000C3C16"/>
    <w:rsid w:val="000C5834"/>
    <w:rsid w:val="000C77D7"/>
    <w:rsid w:val="000D454F"/>
    <w:rsid w:val="000D5BD8"/>
    <w:rsid w:val="000E2C58"/>
    <w:rsid w:val="000E3DE5"/>
    <w:rsid w:val="000F4F7B"/>
    <w:rsid w:val="000F5212"/>
    <w:rsid w:val="00105FC9"/>
    <w:rsid w:val="0010789B"/>
    <w:rsid w:val="00110CE8"/>
    <w:rsid w:val="00111795"/>
    <w:rsid w:val="00116672"/>
    <w:rsid w:val="00130DE7"/>
    <w:rsid w:val="00131A65"/>
    <w:rsid w:val="00141ACF"/>
    <w:rsid w:val="00161B17"/>
    <w:rsid w:val="00163106"/>
    <w:rsid w:val="00167182"/>
    <w:rsid w:val="001745CA"/>
    <w:rsid w:val="001855A4"/>
    <w:rsid w:val="00196917"/>
    <w:rsid w:val="001A57BD"/>
    <w:rsid w:val="001A6B1B"/>
    <w:rsid w:val="001A70DB"/>
    <w:rsid w:val="001B01F6"/>
    <w:rsid w:val="001C1CB6"/>
    <w:rsid w:val="001C7772"/>
    <w:rsid w:val="001D139A"/>
    <w:rsid w:val="001D32B7"/>
    <w:rsid w:val="001D3FDA"/>
    <w:rsid w:val="001D4F80"/>
    <w:rsid w:val="001D5FDE"/>
    <w:rsid w:val="001E1A68"/>
    <w:rsid w:val="001F6DAA"/>
    <w:rsid w:val="001F7AC0"/>
    <w:rsid w:val="00202595"/>
    <w:rsid w:val="00206BD4"/>
    <w:rsid w:val="0021126A"/>
    <w:rsid w:val="00212991"/>
    <w:rsid w:val="00214682"/>
    <w:rsid w:val="00220480"/>
    <w:rsid w:val="00231FC7"/>
    <w:rsid w:val="00241849"/>
    <w:rsid w:val="00242D0A"/>
    <w:rsid w:val="002626C5"/>
    <w:rsid w:val="00263310"/>
    <w:rsid w:val="00271F86"/>
    <w:rsid w:val="00273B9E"/>
    <w:rsid w:val="00274614"/>
    <w:rsid w:val="00275B0A"/>
    <w:rsid w:val="00282029"/>
    <w:rsid w:val="002830A4"/>
    <w:rsid w:val="002958E3"/>
    <w:rsid w:val="00296193"/>
    <w:rsid w:val="002B64EE"/>
    <w:rsid w:val="002C0CF6"/>
    <w:rsid w:val="002C3CA2"/>
    <w:rsid w:val="002C4F87"/>
    <w:rsid w:val="002C6CBF"/>
    <w:rsid w:val="002E12C5"/>
    <w:rsid w:val="002F3560"/>
    <w:rsid w:val="002F3F8F"/>
    <w:rsid w:val="00300A82"/>
    <w:rsid w:val="00301452"/>
    <w:rsid w:val="00306151"/>
    <w:rsid w:val="00307355"/>
    <w:rsid w:val="0032155D"/>
    <w:rsid w:val="003301AF"/>
    <w:rsid w:val="0033090C"/>
    <w:rsid w:val="00332BF5"/>
    <w:rsid w:val="00337B5B"/>
    <w:rsid w:val="003552C3"/>
    <w:rsid w:val="0036043E"/>
    <w:rsid w:val="003612D3"/>
    <w:rsid w:val="0036182F"/>
    <w:rsid w:val="00363048"/>
    <w:rsid w:val="00364E4A"/>
    <w:rsid w:val="00366648"/>
    <w:rsid w:val="00366FAE"/>
    <w:rsid w:val="0037002F"/>
    <w:rsid w:val="00373C73"/>
    <w:rsid w:val="0038210F"/>
    <w:rsid w:val="00383F91"/>
    <w:rsid w:val="003916F9"/>
    <w:rsid w:val="00393EA9"/>
    <w:rsid w:val="00395398"/>
    <w:rsid w:val="003A3FF1"/>
    <w:rsid w:val="003B1DC6"/>
    <w:rsid w:val="003B5A76"/>
    <w:rsid w:val="003C4626"/>
    <w:rsid w:val="003D254B"/>
    <w:rsid w:val="003F1544"/>
    <w:rsid w:val="003F1C32"/>
    <w:rsid w:val="003F2B43"/>
    <w:rsid w:val="00420196"/>
    <w:rsid w:val="004206DE"/>
    <w:rsid w:val="00433FDE"/>
    <w:rsid w:val="004411AA"/>
    <w:rsid w:val="004469F4"/>
    <w:rsid w:val="00453014"/>
    <w:rsid w:val="00456BF0"/>
    <w:rsid w:val="00461F12"/>
    <w:rsid w:val="00463E5A"/>
    <w:rsid w:val="00464822"/>
    <w:rsid w:val="00466519"/>
    <w:rsid w:val="004676CB"/>
    <w:rsid w:val="00471D96"/>
    <w:rsid w:val="004733D2"/>
    <w:rsid w:val="00475C05"/>
    <w:rsid w:val="00477B9A"/>
    <w:rsid w:val="004801A3"/>
    <w:rsid w:val="004934DE"/>
    <w:rsid w:val="00493641"/>
    <w:rsid w:val="00495904"/>
    <w:rsid w:val="004A0E63"/>
    <w:rsid w:val="004A33C8"/>
    <w:rsid w:val="004A6806"/>
    <w:rsid w:val="004B05EB"/>
    <w:rsid w:val="004B0684"/>
    <w:rsid w:val="004B207C"/>
    <w:rsid w:val="004B6FB4"/>
    <w:rsid w:val="004B70C1"/>
    <w:rsid w:val="004D6432"/>
    <w:rsid w:val="004E1776"/>
    <w:rsid w:val="004E2A62"/>
    <w:rsid w:val="004E774B"/>
    <w:rsid w:val="004F1194"/>
    <w:rsid w:val="004F1EEB"/>
    <w:rsid w:val="004F309C"/>
    <w:rsid w:val="004F444D"/>
    <w:rsid w:val="00504295"/>
    <w:rsid w:val="005044B8"/>
    <w:rsid w:val="0050531B"/>
    <w:rsid w:val="005063F3"/>
    <w:rsid w:val="00510922"/>
    <w:rsid w:val="00510C64"/>
    <w:rsid w:val="00524F0F"/>
    <w:rsid w:val="0053333E"/>
    <w:rsid w:val="00534B5F"/>
    <w:rsid w:val="0053524C"/>
    <w:rsid w:val="00546D54"/>
    <w:rsid w:val="0054796B"/>
    <w:rsid w:val="00550DC4"/>
    <w:rsid w:val="00552810"/>
    <w:rsid w:val="00553E40"/>
    <w:rsid w:val="00554EDB"/>
    <w:rsid w:val="00555199"/>
    <w:rsid w:val="00561731"/>
    <w:rsid w:val="0056328B"/>
    <w:rsid w:val="00567191"/>
    <w:rsid w:val="00567644"/>
    <w:rsid w:val="005718A9"/>
    <w:rsid w:val="005740CB"/>
    <w:rsid w:val="005824BC"/>
    <w:rsid w:val="005831FD"/>
    <w:rsid w:val="00586D53"/>
    <w:rsid w:val="005939C4"/>
    <w:rsid w:val="00595F62"/>
    <w:rsid w:val="0059660E"/>
    <w:rsid w:val="0059677D"/>
    <w:rsid w:val="005A01EE"/>
    <w:rsid w:val="005A18A4"/>
    <w:rsid w:val="005A444F"/>
    <w:rsid w:val="005A4D1F"/>
    <w:rsid w:val="005A4E93"/>
    <w:rsid w:val="005C1EFE"/>
    <w:rsid w:val="005C547C"/>
    <w:rsid w:val="005C66A1"/>
    <w:rsid w:val="005E4B6D"/>
    <w:rsid w:val="005F6499"/>
    <w:rsid w:val="00605D6E"/>
    <w:rsid w:val="00614371"/>
    <w:rsid w:val="00614826"/>
    <w:rsid w:val="00642B80"/>
    <w:rsid w:val="0065360C"/>
    <w:rsid w:val="00653AD8"/>
    <w:rsid w:val="00656C5D"/>
    <w:rsid w:val="0066259E"/>
    <w:rsid w:val="00675FA8"/>
    <w:rsid w:val="006804F9"/>
    <w:rsid w:val="0068061B"/>
    <w:rsid w:val="006A64B3"/>
    <w:rsid w:val="006B056F"/>
    <w:rsid w:val="006B1972"/>
    <w:rsid w:val="006B78C8"/>
    <w:rsid w:val="006D096C"/>
    <w:rsid w:val="006D0CB9"/>
    <w:rsid w:val="006E130E"/>
    <w:rsid w:val="006F5931"/>
    <w:rsid w:val="00713188"/>
    <w:rsid w:val="007207F7"/>
    <w:rsid w:val="007249E5"/>
    <w:rsid w:val="00726A12"/>
    <w:rsid w:val="007376DE"/>
    <w:rsid w:val="00740E73"/>
    <w:rsid w:val="00743EF8"/>
    <w:rsid w:val="0077423C"/>
    <w:rsid w:val="00774544"/>
    <w:rsid w:val="00781218"/>
    <w:rsid w:val="00784BC3"/>
    <w:rsid w:val="00796583"/>
    <w:rsid w:val="007B0E63"/>
    <w:rsid w:val="007B7406"/>
    <w:rsid w:val="007C290A"/>
    <w:rsid w:val="007C34EE"/>
    <w:rsid w:val="007C3CF7"/>
    <w:rsid w:val="007C491D"/>
    <w:rsid w:val="007F0A1D"/>
    <w:rsid w:val="007F2598"/>
    <w:rsid w:val="007F2962"/>
    <w:rsid w:val="007F7926"/>
    <w:rsid w:val="0080080F"/>
    <w:rsid w:val="00802614"/>
    <w:rsid w:val="008101D0"/>
    <w:rsid w:val="008169A0"/>
    <w:rsid w:val="00817537"/>
    <w:rsid w:val="00834FE0"/>
    <w:rsid w:val="00835BDC"/>
    <w:rsid w:val="008367B8"/>
    <w:rsid w:val="00841344"/>
    <w:rsid w:val="00843391"/>
    <w:rsid w:val="00844B0C"/>
    <w:rsid w:val="008467AA"/>
    <w:rsid w:val="00847309"/>
    <w:rsid w:val="00854607"/>
    <w:rsid w:val="00862F0D"/>
    <w:rsid w:val="0086463A"/>
    <w:rsid w:val="00865650"/>
    <w:rsid w:val="00877E4B"/>
    <w:rsid w:val="008811A3"/>
    <w:rsid w:val="00881D41"/>
    <w:rsid w:val="00882A2C"/>
    <w:rsid w:val="00896914"/>
    <w:rsid w:val="008A0485"/>
    <w:rsid w:val="008A2139"/>
    <w:rsid w:val="008A343F"/>
    <w:rsid w:val="008A6426"/>
    <w:rsid w:val="008A6C13"/>
    <w:rsid w:val="008B0784"/>
    <w:rsid w:val="008B4048"/>
    <w:rsid w:val="008B60E1"/>
    <w:rsid w:val="008B7FA1"/>
    <w:rsid w:val="008C0956"/>
    <w:rsid w:val="008C0E39"/>
    <w:rsid w:val="008C1BF7"/>
    <w:rsid w:val="008C7BA0"/>
    <w:rsid w:val="008D173D"/>
    <w:rsid w:val="008D255A"/>
    <w:rsid w:val="008D4FB3"/>
    <w:rsid w:val="008D622D"/>
    <w:rsid w:val="008D6A9D"/>
    <w:rsid w:val="008E5E5B"/>
    <w:rsid w:val="00900C76"/>
    <w:rsid w:val="00903DAA"/>
    <w:rsid w:val="00926F77"/>
    <w:rsid w:val="00927654"/>
    <w:rsid w:val="00927CEF"/>
    <w:rsid w:val="00933CB2"/>
    <w:rsid w:val="00943C0E"/>
    <w:rsid w:val="00956038"/>
    <w:rsid w:val="00962361"/>
    <w:rsid w:val="00962BE0"/>
    <w:rsid w:val="00965979"/>
    <w:rsid w:val="0096602E"/>
    <w:rsid w:val="009667A6"/>
    <w:rsid w:val="00981948"/>
    <w:rsid w:val="009827E9"/>
    <w:rsid w:val="00987C0B"/>
    <w:rsid w:val="00994096"/>
    <w:rsid w:val="00996282"/>
    <w:rsid w:val="009B1FBC"/>
    <w:rsid w:val="009B44FD"/>
    <w:rsid w:val="009B5092"/>
    <w:rsid w:val="009B58D4"/>
    <w:rsid w:val="009D1510"/>
    <w:rsid w:val="009E4B48"/>
    <w:rsid w:val="009F3287"/>
    <w:rsid w:val="009F4CF2"/>
    <w:rsid w:val="009F79F2"/>
    <w:rsid w:val="00A03864"/>
    <w:rsid w:val="00A0447F"/>
    <w:rsid w:val="00A105D5"/>
    <w:rsid w:val="00A10E78"/>
    <w:rsid w:val="00A245B6"/>
    <w:rsid w:val="00A26E93"/>
    <w:rsid w:val="00A30463"/>
    <w:rsid w:val="00A32F54"/>
    <w:rsid w:val="00A4404B"/>
    <w:rsid w:val="00A44D07"/>
    <w:rsid w:val="00A5641F"/>
    <w:rsid w:val="00A60FC4"/>
    <w:rsid w:val="00A613B5"/>
    <w:rsid w:val="00A711BF"/>
    <w:rsid w:val="00A77A2E"/>
    <w:rsid w:val="00A82218"/>
    <w:rsid w:val="00A84BC7"/>
    <w:rsid w:val="00A956CE"/>
    <w:rsid w:val="00AA006C"/>
    <w:rsid w:val="00AA3F7C"/>
    <w:rsid w:val="00AA51B7"/>
    <w:rsid w:val="00AA773A"/>
    <w:rsid w:val="00AB0BD6"/>
    <w:rsid w:val="00AB1519"/>
    <w:rsid w:val="00AB402F"/>
    <w:rsid w:val="00AC1366"/>
    <w:rsid w:val="00AC38DA"/>
    <w:rsid w:val="00AD203E"/>
    <w:rsid w:val="00AD24F7"/>
    <w:rsid w:val="00AE0CB5"/>
    <w:rsid w:val="00AE2DC6"/>
    <w:rsid w:val="00AE55ED"/>
    <w:rsid w:val="00AF0E91"/>
    <w:rsid w:val="00AF6708"/>
    <w:rsid w:val="00B00630"/>
    <w:rsid w:val="00B02F26"/>
    <w:rsid w:val="00B10179"/>
    <w:rsid w:val="00B16B55"/>
    <w:rsid w:val="00B246B9"/>
    <w:rsid w:val="00B32DB8"/>
    <w:rsid w:val="00B345F4"/>
    <w:rsid w:val="00B4188B"/>
    <w:rsid w:val="00B446B7"/>
    <w:rsid w:val="00B44CEC"/>
    <w:rsid w:val="00B56496"/>
    <w:rsid w:val="00B62420"/>
    <w:rsid w:val="00B7425C"/>
    <w:rsid w:val="00B74F9E"/>
    <w:rsid w:val="00B75A8D"/>
    <w:rsid w:val="00B8057E"/>
    <w:rsid w:val="00B831D4"/>
    <w:rsid w:val="00B8598A"/>
    <w:rsid w:val="00B85F9B"/>
    <w:rsid w:val="00BA36DE"/>
    <w:rsid w:val="00BA3806"/>
    <w:rsid w:val="00BA5520"/>
    <w:rsid w:val="00BC3E0D"/>
    <w:rsid w:val="00BC6320"/>
    <w:rsid w:val="00BC682D"/>
    <w:rsid w:val="00BC7E6F"/>
    <w:rsid w:val="00BD04D1"/>
    <w:rsid w:val="00BD3760"/>
    <w:rsid w:val="00BE6590"/>
    <w:rsid w:val="00BF0678"/>
    <w:rsid w:val="00BF4B2F"/>
    <w:rsid w:val="00BF6907"/>
    <w:rsid w:val="00BF7B16"/>
    <w:rsid w:val="00C054DC"/>
    <w:rsid w:val="00C05C13"/>
    <w:rsid w:val="00C07448"/>
    <w:rsid w:val="00C13ADD"/>
    <w:rsid w:val="00C14ACF"/>
    <w:rsid w:val="00C1582D"/>
    <w:rsid w:val="00C20BFD"/>
    <w:rsid w:val="00C27C20"/>
    <w:rsid w:val="00C32A34"/>
    <w:rsid w:val="00C464A4"/>
    <w:rsid w:val="00C56749"/>
    <w:rsid w:val="00C57223"/>
    <w:rsid w:val="00C641CC"/>
    <w:rsid w:val="00C65500"/>
    <w:rsid w:val="00C669B8"/>
    <w:rsid w:val="00C7164E"/>
    <w:rsid w:val="00C75733"/>
    <w:rsid w:val="00C776FA"/>
    <w:rsid w:val="00C84109"/>
    <w:rsid w:val="00C910D7"/>
    <w:rsid w:val="00C91FB8"/>
    <w:rsid w:val="00CB0A16"/>
    <w:rsid w:val="00CB2762"/>
    <w:rsid w:val="00CB71C6"/>
    <w:rsid w:val="00CC1CC6"/>
    <w:rsid w:val="00CC1FBE"/>
    <w:rsid w:val="00CC7F55"/>
    <w:rsid w:val="00CE102F"/>
    <w:rsid w:val="00CE6AC0"/>
    <w:rsid w:val="00CF0503"/>
    <w:rsid w:val="00CF7407"/>
    <w:rsid w:val="00D12C59"/>
    <w:rsid w:val="00D12FE7"/>
    <w:rsid w:val="00D34ADA"/>
    <w:rsid w:val="00D35BBC"/>
    <w:rsid w:val="00D40A61"/>
    <w:rsid w:val="00D434DD"/>
    <w:rsid w:val="00D4701B"/>
    <w:rsid w:val="00D51D88"/>
    <w:rsid w:val="00D61C64"/>
    <w:rsid w:val="00D61FC4"/>
    <w:rsid w:val="00D74575"/>
    <w:rsid w:val="00D843AD"/>
    <w:rsid w:val="00D858C7"/>
    <w:rsid w:val="00D877D9"/>
    <w:rsid w:val="00D97AD1"/>
    <w:rsid w:val="00DA0C97"/>
    <w:rsid w:val="00DA3A42"/>
    <w:rsid w:val="00DA7D2A"/>
    <w:rsid w:val="00DB66D3"/>
    <w:rsid w:val="00DC0C73"/>
    <w:rsid w:val="00DC7562"/>
    <w:rsid w:val="00DD7E32"/>
    <w:rsid w:val="00DE01D0"/>
    <w:rsid w:val="00DE05F0"/>
    <w:rsid w:val="00DE4016"/>
    <w:rsid w:val="00DE4A01"/>
    <w:rsid w:val="00DE68B6"/>
    <w:rsid w:val="00DF3EEA"/>
    <w:rsid w:val="00DF71CE"/>
    <w:rsid w:val="00E106EE"/>
    <w:rsid w:val="00E115BD"/>
    <w:rsid w:val="00E1211B"/>
    <w:rsid w:val="00E15593"/>
    <w:rsid w:val="00E2174B"/>
    <w:rsid w:val="00E256CE"/>
    <w:rsid w:val="00E351B6"/>
    <w:rsid w:val="00E4147E"/>
    <w:rsid w:val="00E41FAA"/>
    <w:rsid w:val="00E47886"/>
    <w:rsid w:val="00E5088A"/>
    <w:rsid w:val="00E51A50"/>
    <w:rsid w:val="00E5361E"/>
    <w:rsid w:val="00E61207"/>
    <w:rsid w:val="00E63735"/>
    <w:rsid w:val="00E72DBA"/>
    <w:rsid w:val="00E748FE"/>
    <w:rsid w:val="00E83FA5"/>
    <w:rsid w:val="00E86229"/>
    <w:rsid w:val="00E86493"/>
    <w:rsid w:val="00E928E8"/>
    <w:rsid w:val="00E97339"/>
    <w:rsid w:val="00E9749F"/>
    <w:rsid w:val="00E97C25"/>
    <w:rsid w:val="00EA1CDB"/>
    <w:rsid w:val="00EA2068"/>
    <w:rsid w:val="00EA67BA"/>
    <w:rsid w:val="00EB2EA5"/>
    <w:rsid w:val="00EC36CC"/>
    <w:rsid w:val="00EE1271"/>
    <w:rsid w:val="00EF3453"/>
    <w:rsid w:val="00F040B1"/>
    <w:rsid w:val="00F04333"/>
    <w:rsid w:val="00F11333"/>
    <w:rsid w:val="00F233DC"/>
    <w:rsid w:val="00F26A55"/>
    <w:rsid w:val="00F2760B"/>
    <w:rsid w:val="00F30D92"/>
    <w:rsid w:val="00F51E80"/>
    <w:rsid w:val="00F7410B"/>
    <w:rsid w:val="00F83ECC"/>
    <w:rsid w:val="00F87315"/>
    <w:rsid w:val="00F8771F"/>
    <w:rsid w:val="00F909E4"/>
    <w:rsid w:val="00F92589"/>
    <w:rsid w:val="00F9307D"/>
    <w:rsid w:val="00F960F6"/>
    <w:rsid w:val="00F96798"/>
    <w:rsid w:val="00FA2E94"/>
    <w:rsid w:val="00FA56D9"/>
    <w:rsid w:val="00FA57A2"/>
    <w:rsid w:val="00FB0422"/>
    <w:rsid w:val="00FB1B25"/>
    <w:rsid w:val="00FB719E"/>
    <w:rsid w:val="00FC0EB9"/>
    <w:rsid w:val="00FC32A1"/>
    <w:rsid w:val="00FC37C0"/>
    <w:rsid w:val="00FC45D8"/>
    <w:rsid w:val="00FC5820"/>
    <w:rsid w:val="00FD727E"/>
    <w:rsid w:val="00FD78E2"/>
    <w:rsid w:val="00FE231C"/>
    <w:rsid w:val="00FE247E"/>
    <w:rsid w:val="00FE50CB"/>
    <w:rsid w:val="02182ED7"/>
    <w:rsid w:val="02353A89"/>
    <w:rsid w:val="02532161"/>
    <w:rsid w:val="02D92666"/>
    <w:rsid w:val="02F82EBD"/>
    <w:rsid w:val="034122DA"/>
    <w:rsid w:val="048C6A72"/>
    <w:rsid w:val="050414F1"/>
    <w:rsid w:val="05A73162"/>
    <w:rsid w:val="065F4421"/>
    <w:rsid w:val="06F105E8"/>
    <w:rsid w:val="073A38EF"/>
    <w:rsid w:val="0806270F"/>
    <w:rsid w:val="0808037B"/>
    <w:rsid w:val="08D20E84"/>
    <w:rsid w:val="09976787"/>
    <w:rsid w:val="0A23066B"/>
    <w:rsid w:val="0AEB2E9F"/>
    <w:rsid w:val="0BCD5792"/>
    <w:rsid w:val="0BCE693F"/>
    <w:rsid w:val="0CA05EF5"/>
    <w:rsid w:val="0CFC28ED"/>
    <w:rsid w:val="0D2E35AF"/>
    <w:rsid w:val="0DE56D46"/>
    <w:rsid w:val="0E3A4805"/>
    <w:rsid w:val="0E7A14ED"/>
    <w:rsid w:val="0F680533"/>
    <w:rsid w:val="101A32F0"/>
    <w:rsid w:val="101F18D4"/>
    <w:rsid w:val="108E1041"/>
    <w:rsid w:val="10A420CD"/>
    <w:rsid w:val="110C3198"/>
    <w:rsid w:val="1155539E"/>
    <w:rsid w:val="11B6100C"/>
    <w:rsid w:val="125A6BF4"/>
    <w:rsid w:val="129739A4"/>
    <w:rsid w:val="1367395A"/>
    <w:rsid w:val="14467430"/>
    <w:rsid w:val="16021A7C"/>
    <w:rsid w:val="16DA2710"/>
    <w:rsid w:val="184E68C6"/>
    <w:rsid w:val="18ED2570"/>
    <w:rsid w:val="190A67E8"/>
    <w:rsid w:val="19C86B39"/>
    <w:rsid w:val="1AA650CC"/>
    <w:rsid w:val="1B32070E"/>
    <w:rsid w:val="1B5A0736"/>
    <w:rsid w:val="1D903E12"/>
    <w:rsid w:val="1E0C5F9A"/>
    <w:rsid w:val="1F21192A"/>
    <w:rsid w:val="1F244D10"/>
    <w:rsid w:val="1F3C5FFF"/>
    <w:rsid w:val="1F58270D"/>
    <w:rsid w:val="1FB74DC5"/>
    <w:rsid w:val="1FEA4A2C"/>
    <w:rsid w:val="20596D20"/>
    <w:rsid w:val="208241C4"/>
    <w:rsid w:val="20CD3C81"/>
    <w:rsid w:val="20FA7BE6"/>
    <w:rsid w:val="21381626"/>
    <w:rsid w:val="21594C04"/>
    <w:rsid w:val="2231743A"/>
    <w:rsid w:val="23660ACB"/>
    <w:rsid w:val="23CE2173"/>
    <w:rsid w:val="240A361F"/>
    <w:rsid w:val="26A10E3D"/>
    <w:rsid w:val="271C3D6F"/>
    <w:rsid w:val="27D72D69"/>
    <w:rsid w:val="289E20A9"/>
    <w:rsid w:val="28A80261"/>
    <w:rsid w:val="28B83DD5"/>
    <w:rsid w:val="2900009D"/>
    <w:rsid w:val="2C67409A"/>
    <w:rsid w:val="2CAE3E5B"/>
    <w:rsid w:val="2D594220"/>
    <w:rsid w:val="2D6C5794"/>
    <w:rsid w:val="2D8E1F75"/>
    <w:rsid w:val="2E0651C1"/>
    <w:rsid w:val="2E494294"/>
    <w:rsid w:val="2E601203"/>
    <w:rsid w:val="30452754"/>
    <w:rsid w:val="33C551F0"/>
    <w:rsid w:val="365D1769"/>
    <w:rsid w:val="37070849"/>
    <w:rsid w:val="373158C6"/>
    <w:rsid w:val="37A4253C"/>
    <w:rsid w:val="382947EF"/>
    <w:rsid w:val="382D5936"/>
    <w:rsid w:val="38FB618B"/>
    <w:rsid w:val="399207D5"/>
    <w:rsid w:val="39A045B9"/>
    <w:rsid w:val="39E6508D"/>
    <w:rsid w:val="3B5652C9"/>
    <w:rsid w:val="3BAF37EC"/>
    <w:rsid w:val="3C2F4917"/>
    <w:rsid w:val="3C7F36CC"/>
    <w:rsid w:val="3D601F95"/>
    <w:rsid w:val="3D673DEF"/>
    <w:rsid w:val="3DD84CED"/>
    <w:rsid w:val="3E8D7A3D"/>
    <w:rsid w:val="401C35B7"/>
    <w:rsid w:val="402C725C"/>
    <w:rsid w:val="40441C1B"/>
    <w:rsid w:val="40B26274"/>
    <w:rsid w:val="412A5860"/>
    <w:rsid w:val="422F7524"/>
    <w:rsid w:val="42E508EF"/>
    <w:rsid w:val="433C41A2"/>
    <w:rsid w:val="43C26223"/>
    <w:rsid w:val="44F464B2"/>
    <w:rsid w:val="45815C6A"/>
    <w:rsid w:val="45B7168C"/>
    <w:rsid w:val="47820541"/>
    <w:rsid w:val="48362D3C"/>
    <w:rsid w:val="487F4091"/>
    <w:rsid w:val="49CB71B2"/>
    <w:rsid w:val="4AC97E97"/>
    <w:rsid w:val="4B180E1F"/>
    <w:rsid w:val="4B5F34A2"/>
    <w:rsid w:val="4BDC6EAE"/>
    <w:rsid w:val="4BF929FE"/>
    <w:rsid w:val="4CB8347F"/>
    <w:rsid w:val="4D21045F"/>
    <w:rsid w:val="4F654551"/>
    <w:rsid w:val="508A593E"/>
    <w:rsid w:val="50C82E27"/>
    <w:rsid w:val="51CC4CAF"/>
    <w:rsid w:val="51D442CE"/>
    <w:rsid w:val="526F5525"/>
    <w:rsid w:val="52D665A1"/>
    <w:rsid w:val="532540D9"/>
    <w:rsid w:val="53BB67EB"/>
    <w:rsid w:val="56571574"/>
    <w:rsid w:val="57AE07FF"/>
    <w:rsid w:val="58230B45"/>
    <w:rsid w:val="594D6137"/>
    <w:rsid w:val="5ABD1D13"/>
    <w:rsid w:val="5AEE394A"/>
    <w:rsid w:val="5B154B1A"/>
    <w:rsid w:val="5B417928"/>
    <w:rsid w:val="5B7200D7"/>
    <w:rsid w:val="5B7A7F06"/>
    <w:rsid w:val="5BEF5441"/>
    <w:rsid w:val="5C9E00F1"/>
    <w:rsid w:val="5DB20C5F"/>
    <w:rsid w:val="5E5140D5"/>
    <w:rsid w:val="5E700CD6"/>
    <w:rsid w:val="5F373350"/>
    <w:rsid w:val="5F856747"/>
    <w:rsid w:val="616F4D4D"/>
    <w:rsid w:val="62065A1D"/>
    <w:rsid w:val="63555AEA"/>
    <w:rsid w:val="65E120E1"/>
    <w:rsid w:val="66522FDF"/>
    <w:rsid w:val="680C5674"/>
    <w:rsid w:val="69E45846"/>
    <w:rsid w:val="6A015822"/>
    <w:rsid w:val="6B5C26CD"/>
    <w:rsid w:val="6BBB556A"/>
    <w:rsid w:val="6C6C15BD"/>
    <w:rsid w:val="6D1A3FF7"/>
    <w:rsid w:val="6DA57E98"/>
    <w:rsid w:val="6F3A1C64"/>
    <w:rsid w:val="701A2DBF"/>
    <w:rsid w:val="70CA6A0A"/>
    <w:rsid w:val="70F42379"/>
    <w:rsid w:val="72C22F53"/>
    <w:rsid w:val="73942E89"/>
    <w:rsid w:val="744321B9"/>
    <w:rsid w:val="74B23D8F"/>
    <w:rsid w:val="75364E1A"/>
    <w:rsid w:val="76E06B73"/>
    <w:rsid w:val="771375E7"/>
    <w:rsid w:val="773330BD"/>
    <w:rsid w:val="79544A00"/>
    <w:rsid w:val="79901CF7"/>
    <w:rsid w:val="7A7A445B"/>
    <w:rsid w:val="7AC25029"/>
    <w:rsid w:val="7B160627"/>
    <w:rsid w:val="7B175F46"/>
    <w:rsid w:val="7CF12EC2"/>
    <w:rsid w:val="7D314531"/>
    <w:rsid w:val="7E3F1C43"/>
    <w:rsid w:val="7E9A3EA4"/>
    <w:rsid w:val="7FB54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20"/>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2"/>
    <w:semiHidden/>
    <w:unhideWhenUsed/>
    <w:qFormat/>
    <w:uiPriority w:val="99"/>
    <w:rPr>
      <w:sz w:val="18"/>
      <w:szCs w:val="18"/>
    </w:r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1">
    <w:name w:val="Title"/>
    <w:basedOn w:val="1"/>
    <w:next w:val="1"/>
    <w:link w:val="31"/>
    <w:qFormat/>
    <w:uiPriority w:val="10"/>
    <w:pPr>
      <w:spacing w:before="240" w:after="60"/>
      <w:jc w:val="center"/>
      <w:outlineLvl w:val="0"/>
    </w:pPr>
    <w:rPr>
      <w:rFonts w:asciiTheme="majorHAnsi" w:hAnsiTheme="majorHAnsi" w:eastAsiaTheme="majorEastAsia" w:cstheme="majorBidi"/>
      <w:b/>
      <w:bCs/>
      <w:sz w:val="32"/>
      <w:szCs w:val="32"/>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page number"/>
    <w:basedOn w:val="14"/>
    <w:autoRedefine/>
    <w:qFormat/>
    <w:uiPriority w:val="0"/>
  </w:style>
  <w:style w:type="character" w:styleId="17">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8">
    <w:name w:val="Hyperlink"/>
    <w:basedOn w:val="14"/>
    <w:unhideWhenUsed/>
    <w:qFormat/>
    <w:uiPriority w:val="99"/>
    <w:rPr>
      <w:color w:val="0563C1" w:themeColor="hyperlink"/>
      <w:u w:val="single"/>
      <w14:textFill>
        <w14:solidFill>
          <w14:schemeClr w14:val="hlink"/>
        </w14:solidFill>
      </w14:textFill>
    </w:rPr>
  </w:style>
  <w:style w:type="character" w:customStyle="1" w:styleId="19">
    <w:name w:val="标题 1 字符"/>
    <w:basedOn w:val="14"/>
    <w:link w:val="2"/>
    <w:qFormat/>
    <w:uiPriority w:val="9"/>
    <w:rPr>
      <w:rFonts w:ascii="Times New Roman" w:hAnsi="Times New Roman" w:eastAsia="宋体" w:cs="Times New Roman"/>
      <w:b/>
      <w:bCs/>
      <w:kern w:val="44"/>
      <w:sz w:val="44"/>
      <w:szCs w:val="44"/>
    </w:rPr>
  </w:style>
  <w:style w:type="character" w:customStyle="1" w:styleId="20">
    <w:name w:val="标题 3 字符"/>
    <w:basedOn w:val="14"/>
    <w:link w:val="4"/>
    <w:qFormat/>
    <w:uiPriority w:val="0"/>
    <w:rPr>
      <w:rFonts w:ascii="Times New Roman" w:hAnsi="Times New Roman" w:eastAsia="宋体" w:cs="Times New Roman"/>
      <w:b/>
      <w:bCs/>
      <w:sz w:val="32"/>
      <w:szCs w:val="32"/>
    </w:rPr>
  </w:style>
  <w:style w:type="paragraph" w:styleId="21">
    <w:name w:val="List Paragraph"/>
    <w:basedOn w:val="1"/>
    <w:qFormat/>
    <w:uiPriority w:val="34"/>
    <w:pPr>
      <w:ind w:firstLine="420" w:firstLineChars="200"/>
    </w:pPr>
    <w:rPr>
      <w:szCs w:val="24"/>
      <w:lang w:val="en-GB"/>
    </w:rPr>
  </w:style>
  <w:style w:type="character" w:customStyle="1" w:styleId="22">
    <w:name w:val="批注框文本 字符"/>
    <w:basedOn w:val="14"/>
    <w:link w:val="7"/>
    <w:semiHidden/>
    <w:qFormat/>
    <w:uiPriority w:val="99"/>
    <w:rPr>
      <w:rFonts w:ascii="Times New Roman" w:hAnsi="Times New Roman" w:eastAsia="宋体" w:cs="Times New Roman"/>
      <w:sz w:val="18"/>
      <w:szCs w:val="18"/>
    </w:rPr>
  </w:style>
  <w:style w:type="character" w:customStyle="1" w:styleId="23">
    <w:name w:val="页眉 字符"/>
    <w:basedOn w:val="14"/>
    <w:link w:val="9"/>
    <w:qFormat/>
    <w:uiPriority w:val="99"/>
    <w:rPr>
      <w:rFonts w:ascii="Times New Roman" w:hAnsi="Times New Roman" w:eastAsia="宋体" w:cs="Times New Roman"/>
      <w:sz w:val="18"/>
      <w:szCs w:val="18"/>
    </w:rPr>
  </w:style>
  <w:style w:type="character" w:customStyle="1" w:styleId="24">
    <w:name w:val="页脚 字符"/>
    <w:basedOn w:val="14"/>
    <w:link w:val="8"/>
    <w:qFormat/>
    <w:uiPriority w:val="99"/>
    <w:rPr>
      <w:rFonts w:ascii="Times New Roman" w:hAnsi="Times New Roman" w:eastAsia="宋体" w:cs="Times New Roman"/>
      <w:sz w:val="18"/>
      <w:szCs w:val="18"/>
    </w:rPr>
  </w:style>
  <w:style w:type="character" w:customStyle="1" w:styleId="25">
    <w:name w:val="未处理的提及1"/>
    <w:basedOn w:val="14"/>
    <w:semiHidden/>
    <w:unhideWhenUsed/>
    <w:qFormat/>
    <w:uiPriority w:val="99"/>
    <w:rPr>
      <w:color w:val="605E5C"/>
      <w:shd w:val="clear" w:color="auto" w:fill="E1DFDD"/>
    </w:rPr>
  </w:style>
  <w:style w:type="character" w:customStyle="1" w:styleId="26">
    <w:name w:val="name"/>
    <w:qFormat/>
    <w:uiPriority w:val="0"/>
  </w:style>
  <w:style w:type="character" w:customStyle="1" w:styleId="27">
    <w:name w:val="未处理的提及2"/>
    <w:basedOn w:val="14"/>
    <w:semiHidden/>
    <w:unhideWhenUsed/>
    <w:qFormat/>
    <w:uiPriority w:val="99"/>
    <w:rPr>
      <w:color w:val="605E5C"/>
      <w:shd w:val="clear" w:color="auto" w:fill="E1DFDD"/>
    </w:rPr>
  </w:style>
  <w:style w:type="paragraph" w:customStyle="1" w:styleId="28">
    <w:name w:val="_Style 19"/>
    <w:basedOn w:val="1"/>
    <w:next w:val="21"/>
    <w:qFormat/>
    <w:uiPriority w:val="34"/>
    <w:pPr>
      <w:ind w:firstLine="420" w:firstLineChars="200"/>
    </w:pPr>
  </w:style>
  <w:style w:type="character" w:customStyle="1" w:styleId="29">
    <w:name w:val="未处理的提及3"/>
    <w:basedOn w:val="14"/>
    <w:semiHidden/>
    <w:unhideWhenUsed/>
    <w:qFormat/>
    <w:uiPriority w:val="99"/>
    <w:rPr>
      <w:color w:val="605E5C"/>
      <w:shd w:val="clear" w:color="auto" w:fill="E1DFDD"/>
    </w:rPr>
  </w:style>
  <w:style w:type="paragraph" w:styleId="30">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1">
    <w:name w:val="标题 字符"/>
    <w:basedOn w:val="14"/>
    <w:link w:val="11"/>
    <w:qFormat/>
    <w:uiPriority w:val="10"/>
    <w:rPr>
      <w:rFonts w:asciiTheme="majorHAnsi" w:hAnsiTheme="majorHAnsi" w:eastAsiaTheme="majorEastAsia" w:cstheme="majorBidi"/>
      <w:b/>
      <w:bCs/>
      <w:sz w:val="32"/>
      <w:szCs w:val="32"/>
    </w:rPr>
  </w:style>
  <w:style w:type="character" w:customStyle="1" w:styleId="32">
    <w:name w:val="未处理的提及4"/>
    <w:basedOn w:val="14"/>
    <w:semiHidden/>
    <w:unhideWhenUsed/>
    <w:qFormat/>
    <w:uiPriority w:val="99"/>
    <w:rPr>
      <w:color w:val="605E5C"/>
      <w:shd w:val="clear" w:color="auto" w:fill="E1DFDD"/>
    </w:rPr>
  </w:style>
  <w:style w:type="character" w:customStyle="1" w:styleId="33">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02BDF-626A-4097-84EB-3853DD87F36C}">
  <ds:schemaRefs/>
</ds:datastoreItem>
</file>

<file path=docProps/app.xml><?xml version="1.0" encoding="utf-8"?>
<Properties xmlns="http://schemas.openxmlformats.org/officeDocument/2006/extended-properties" xmlns:vt="http://schemas.openxmlformats.org/officeDocument/2006/docPropsVTypes">
  <Template>Normal</Template>
  <Pages>4</Pages>
  <Words>2665</Words>
  <Characters>2836</Characters>
  <Lines>24</Lines>
  <Paragraphs>6</Paragraphs>
  <TotalTime>10</TotalTime>
  <ScaleCrop>false</ScaleCrop>
  <LinksUpToDate>false</LinksUpToDate>
  <CharactersWithSpaces>2876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2024-09-12T05:47:00Z</dcterms:created>
  <dc:creator>dell</dc:creator>
  <cp:lastModifiedBy>张志英</cp:lastModifiedBy>
  <cp:lastPrinted>2025-06-05T01:01:00Z</cp:lastPrinted>
  <dcterms:modified xsi:type="dcterms:W3CDTF">2026-04-27T11:46:03Z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809301B26DB44DCEBE6AC2083C0BA662_13</vt:lpwstr>
  </property>
  <property fmtid="{D5CDD505-2E9C-101B-9397-08002B2CF9AE}" pid="4" name="KSOTemplateDocerSaveRecord">
    <vt:lpwstr>eyJoZGlkIjoiN2YzNjBkOTgyNWQ1YTMxYzM3MzMwNWFiODNmOWIzYWMiLCJ1c2VySWQiOiIxMjQ4MzY5ODMwIn0=</vt:lpwstr>
  </property>
</Properties>
</file>