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1773D">
      <w:pPr>
        <w:spacing w:line="360" w:lineRule="auto"/>
        <w:jc w:val="left"/>
        <w:rPr>
          <w:rFonts w:hint="eastAsia" w:ascii="仿宋" w:hAnsi="仿宋" w:eastAsia="仿宋"/>
          <w:bCs/>
          <w:sz w:val="30"/>
          <w:szCs w:val="30"/>
        </w:rPr>
      </w:pPr>
      <w:r>
        <w:rPr>
          <w:rFonts w:hint="eastAsia" w:ascii="仿宋" w:hAnsi="仿宋" w:eastAsia="仿宋"/>
          <w:b/>
          <w:sz w:val="30"/>
          <w:szCs w:val="30"/>
        </w:rPr>
        <w:t>附件1：</w:t>
      </w:r>
    </w:p>
    <w:p w14:paraId="53184F1A">
      <w:pPr>
        <w:spacing w:line="360" w:lineRule="auto"/>
        <w:jc w:val="center"/>
        <w:rPr>
          <w:rFonts w:hint="eastAsia" w:ascii="宋体" w:hAnsi="宋体"/>
          <w:b/>
          <w:sz w:val="36"/>
          <w:szCs w:val="36"/>
        </w:rPr>
      </w:pPr>
      <w:bookmarkStart w:id="0" w:name="OLE_LINK105"/>
      <w:r>
        <w:rPr>
          <w:rFonts w:hint="eastAsia" w:ascii="宋体" w:hAnsi="宋体"/>
          <w:b/>
          <w:sz w:val="36"/>
          <w:szCs w:val="36"/>
        </w:rPr>
        <w:t>2025食</w:t>
      </w:r>
      <w:bookmarkStart w:id="1" w:name="OLE_LINK86"/>
      <w:r>
        <w:rPr>
          <w:rFonts w:hint="eastAsia" w:ascii="宋体" w:hAnsi="宋体"/>
          <w:b/>
          <w:sz w:val="36"/>
          <w:szCs w:val="36"/>
        </w:rPr>
        <w:t>品</w:t>
      </w:r>
      <w:bookmarkStart w:id="2" w:name="OLE_LINK96"/>
      <w:r>
        <w:rPr>
          <w:rFonts w:hint="eastAsia" w:ascii="宋体" w:hAnsi="宋体"/>
          <w:b/>
          <w:sz w:val="36"/>
          <w:szCs w:val="36"/>
        </w:rPr>
        <w:t>安全创新案</w:t>
      </w:r>
      <w:bookmarkEnd w:id="1"/>
      <w:r>
        <w:rPr>
          <w:rFonts w:hint="eastAsia" w:ascii="宋体" w:hAnsi="宋体"/>
          <w:b/>
          <w:sz w:val="36"/>
          <w:szCs w:val="36"/>
        </w:rPr>
        <w:t>例申</w:t>
      </w:r>
      <w:bookmarkEnd w:id="2"/>
      <w:r>
        <w:rPr>
          <w:rFonts w:hint="eastAsia" w:ascii="宋体" w:hAnsi="宋体"/>
          <w:b/>
          <w:sz w:val="36"/>
          <w:szCs w:val="36"/>
        </w:rPr>
        <w:t>报表</w:t>
      </w:r>
      <w:bookmarkEnd w:id="0"/>
    </w:p>
    <w:tbl>
      <w:tblPr>
        <w:tblStyle w:val="13"/>
        <w:tblW w:w="8645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218"/>
        <w:gridCol w:w="1559"/>
        <w:gridCol w:w="2696"/>
      </w:tblGrid>
      <w:tr w14:paraId="2A1EC4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669F8085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企业全称</w:t>
            </w:r>
          </w:p>
        </w:tc>
        <w:tc>
          <w:tcPr>
            <w:tcW w:w="6473" w:type="dxa"/>
            <w:gridSpan w:val="3"/>
            <w:vAlign w:val="center"/>
          </w:tcPr>
          <w:p w14:paraId="1012539F">
            <w:pPr>
              <w:jc w:val="center"/>
              <w:rPr>
                <w:rFonts w:hint="default" w:ascii="仿宋" w:hAnsi="仿宋" w:eastAsia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kern w:val="0"/>
                <w:sz w:val="28"/>
                <w:szCs w:val="28"/>
                <w:lang w:val="en-US" w:eastAsia="zh-CN"/>
              </w:rPr>
              <w:t>海底捞国际控股有限公司</w:t>
            </w:r>
          </w:p>
        </w:tc>
      </w:tr>
      <w:tr w14:paraId="72B1D5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7962058C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联系人</w:t>
            </w:r>
          </w:p>
        </w:tc>
        <w:tc>
          <w:tcPr>
            <w:tcW w:w="2218" w:type="dxa"/>
            <w:vAlign w:val="center"/>
          </w:tcPr>
          <w:p w14:paraId="407BD368">
            <w:pPr>
              <w:jc w:val="center"/>
              <w:rPr>
                <w:rFonts w:hint="default" w:ascii="仿宋" w:hAnsi="仿宋" w:eastAsia="仿宋" w:cs="微软雅黑 Light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  <w:lang w:val="en-US" w:eastAsia="zh-CN"/>
              </w:rPr>
              <w:t>杨立</w:t>
            </w:r>
          </w:p>
        </w:tc>
        <w:tc>
          <w:tcPr>
            <w:tcW w:w="1559" w:type="dxa"/>
            <w:vAlign w:val="center"/>
          </w:tcPr>
          <w:p w14:paraId="696A06E2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bookmarkStart w:id="3" w:name="OLE_LINK82"/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联系电话</w:t>
            </w:r>
            <w:bookmarkEnd w:id="3"/>
          </w:p>
        </w:tc>
        <w:tc>
          <w:tcPr>
            <w:tcW w:w="2696" w:type="dxa"/>
            <w:vAlign w:val="center"/>
          </w:tcPr>
          <w:p w14:paraId="2396FE98">
            <w:pPr>
              <w:jc w:val="center"/>
              <w:rPr>
                <w:rFonts w:hint="default" w:ascii="仿宋" w:hAnsi="仿宋" w:eastAsia="仿宋" w:cs="微软雅黑 Light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  <w:lang w:val="en-US" w:eastAsia="zh-CN"/>
              </w:rPr>
              <w:t>18910072465</w:t>
            </w:r>
          </w:p>
        </w:tc>
      </w:tr>
      <w:tr w14:paraId="76E19F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2B5F1A20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bookmarkStart w:id="4" w:name="OLE_LINK83" w:colFirst="0" w:colLast="2"/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部门</w:t>
            </w:r>
          </w:p>
        </w:tc>
        <w:tc>
          <w:tcPr>
            <w:tcW w:w="2218" w:type="dxa"/>
            <w:vAlign w:val="center"/>
          </w:tcPr>
          <w:p w14:paraId="7A7A142A">
            <w:pPr>
              <w:jc w:val="center"/>
              <w:rPr>
                <w:rFonts w:hint="default" w:ascii="仿宋" w:hAnsi="仿宋" w:eastAsia="仿宋" w:cs="微软雅黑 Light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  <w:lang w:val="en-US" w:eastAsia="zh-CN"/>
              </w:rPr>
              <w:t>质量安全管理部</w:t>
            </w:r>
          </w:p>
        </w:tc>
        <w:tc>
          <w:tcPr>
            <w:tcW w:w="1559" w:type="dxa"/>
            <w:vAlign w:val="center"/>
          </w:tcPr>
          <w:p w14:paraId="38648798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职务</w:t>
            </w:r>
          </w:p>
        </w:tc>
        <w:tc>
          <w:tcPr>
            <w:tcW w:w="2696" w:type="dxa"/>
            <w:vAlign w:val="center"/>
          </w:tcPr>
          <w:p w14:paraId="03B2A146">
            <w:pPr>
              <w:jc w:val="center"/>
              <w:rPr>
                <w:rFonts w:hint="default" w:ascii="仿宋" w:hAnsi="仿宋" w:eastAsia="仿宋" w:cs="微软雅黑 Light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  <w:lang w:val="en-US" w:eastAsia="zh-CN"/>
              </w:rPr>
              <w:t>质量安全负责人</w:t>
            </w:r>
          </w:p>
        </w:tc>
      </w:tr>
      <w:tr w14:paraId="288632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vAlign w:val="center"/>
          </w:tcPr>
          <w:p w14:paraId="48BA2765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bookmarkStart w:id="5" w:name="OLE_LINK10"/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案例1</w:t>
            </w:r>
          </w:p>
        </w:tc>
      </w:tr>
      <w:bookmarkEnd w:id="4"/>
      <w:tr w14:paraId="537D3F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3F568AAE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案例名称</w:t>
            </w:r>
            <w:bookmarkEnd w:id="5"/>
          </w:p>
        </w:tc>
        <w:tc>
          <w:tcPr>
            <w:tcW w:w="6473" w:type="dxa"/>
            <w:gridSpan w:val="3"/>
            <w:vAlign w:val="center"/>
          </w:tcPr>
          <w:p w14:paraId="76130A40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全链条、全方位、全动员的“嗨食安”食品安全管理模式</w:t>
            </w:r>
          </w:p>
        </w:tc>
      </w:tr>
      <w:tr w14:paraId="20EC56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07007E3B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bookmarkStart w:id="6" w:name="OLE_LINK88"/>
            <w:bookmarkStart w:id="7" w:name="OLE_LINK85"/>
            <w:bookmarkStart w:id="8" w:name="OLE_LINK92" w:colFirst="1" w:colLast="2"/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申报方向</w:t>
            </w:r>
          </w:p>
          <w:p w14:paraId="38F7619E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vAlign w:val="center"/>
          </w:tcPr>
          <w:p w14:paraId="0568CF7B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333333"/>
                <w:spacing w:val="-6"/>
                <w:sz w:val="28"/>
                <w:szCs w:val="28"/>
                <w:shd w:val="clear" w:color="auto" w:fill="FFFFFF"/>
              </w:rPr>
              <w:t>（一）管理体系与制度创新</w:t>
            </w:r>
          </w:p>
        </w:tc>
      </w:tr>
      <w:tr w14:paraId="722F40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25BCB55F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vAlign w:val="center"/>
          </w:tcPr>
          <w:p w14:paraId="5386B735">
            <w:pPr>
              <w:snapToGrid w:val="0"/>
              <w:jc w:val="left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  <w:lang w:eastAsia="zh-CN"/>
              </w:rPr>
              <w:t>☑</w:t>
            </w: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 xml:space="preserve"> 仅文字    □ 仅视频    □ 文字与视频结合</w:t>
            </w:r>
          </w:p>
        </w:tc>
      </w:tr>
      <w:tr w14:paraId="7EC66B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19D7A172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vAlign w:val="center"/>
          </w:tcPr>
          <w:p w14:paraId="00595960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3AF33C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shd w:val="clear" w:color="auto" w:fill="auto"/>
            <w:vAlign w:val="center"/>
          </w:tcPr>
          <w:p w14:paraId="1D254C77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案例2</w:t>
            </w:r>
          </w:p>
        </w:tc>
      </w:tr>
      <w:tr w14:paraId="3A63BA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205A9CD2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F3EE1A8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20F025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1F024356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申报方向</w:t>
            </w:r>
          </w:p>
          <w:p w14:paraId="34DDED32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0E15E6C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19A854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37CC6EC6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38C28656">
            <w:pPr>
              <w:snapToGrid w:val="0"/>
              <w:jc w:val="left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□ 仅文字    □ 仅视频    □ 文字与视频结合</w:t>
            </w:r>
          </w:p>
        </w:tc>
      </w:tr>
      <w:tr w14:paraId="309E3C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69AB7E22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7312BB09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4F2804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shd w:val="clear" w:color="auto" w:fill="auto"/>
            <w:vAlign w:val="center"/>
          </w:tcPr>
          <w:p w14:paraId="41861031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案例3</w:t>
            </w:r>
          </w:p>
        </w:tc>
      </w:tr>
      <w:tr w14:paraId="20D85A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4D385DB9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067064D1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09DE90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27241381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申报方向</w:t>
            </w:r>
          </w:p>
          <w:p w14:paraId="2E0D0F8F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61AB6AB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5EFFCE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3A4D977D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DB97665">
            <w:pPr>
              <w:snapToGrid w:val="0"/>
              <w:jc w:val="left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□ 仅文字    □ 仅视频    □ 文字与视频结合</w:t>
            </w:r>
          </w:p>
        </w:tc>
      </w:tr>
      <w:tr w14:paraId="7867AF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169ADA29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DB01D7A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bookmarkEnd w:id="6"/>
      <w:bookmarkEnd w:id="7"/>
      <w:bookmarkEnd w:id="8"/>
    </w:tbl>
    <w:p w14:paraId="3CB94E95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both"/>
        <w:rPr>
          <w:rFonts w:hint="eastAsia"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仿宋"/>
          <w:color w:val="333333"/>
          <w:spacing w:val="-6"/>
          <w:sz w:val="28"/>
          <w:szCs w:val="28"/>
          <w:shd w:val="clear" w:color="auto" w:fill="FFFFFF"/>
        </w:rPr>
        <w:t>*申报方向：（一）管理体系与制度创新；（二）供应链与源头管控创新；（三）生产与加工环节创新；（四）流通与销售环节创新；（五）社会价值与公益项目。</w:t>
      </w:r>
    </w:p>
    <w:p w14:paraId="6E1A28BF">
      <w:pPr>
        <w:spacing w:line="360" w:lineRule="auto"/>
        <w:jc w:val="left"/>
        <w:rPr>
          <w:rFonts w:hint="eastAsia" w:ascii="仿宋" w:hAnsi="仿宋" w:eastAsia="仿宋"/>
          <w:b/>
          <w:sz w:val="30"/>
          <w:szCs w:val="30"/>
        </w:rPr>
      </w:pPr>
    </w:p>
    <w:p w14:paraId="5ECF8659">
      <w:pPr>
        <w:spacing w:line="360" w:lineRule="auto"/>
        <w:jc w:val="left"/>
        <w:rPr>
          <w:rFonts w:hint="eastAsia" w:ascii="仿宋" w:hAnsi="仿宋" w:eastAsia="仿宋"/>
          <w:bCs/>
          <w:sz w:val="30"/>
          <w:szCs w:val="30"/>
        </w:rPr>
      </w:pPr>
      <w:r>
        <w:rPr>
          <w:rFonts w:hint="eastAsia" w:ascii="仿宋" w:hAnsi="仿宋" w:eastAsia="仿宋"/>
          <w:b/>
          <w:sz w:val="30"/>
          <w:szCs w:val="30"/>
        </w:rPr>
        <w:t>附件</w:t>
      </w:r>
      <w:r>
        <w:rPr>
          <w:rFonts w:ascii="仿宋" w:hAnsi="仿宋" w:eastAsia="仿宋"/>
          <w:b/>
          <w:sz w:val="30"/>
          <w:szCs w:val="30"/>
        </w:rPr>
        <w:t>2</w:t>
      </w:r>
      <w:r>
        <w:rPr>
          <w:rFonts w:hint="eastAsia" w:ascii="仿宋" w:hAnsi="仿宋" w:eastAsia="仿宋"/>
          <w:b/>
          <w:sz w:val="30"/>
          <w:szCs w:val="30"/>
        </w:rPr>
        <w:t>：</w:t>
      </w:r>
    </w:p>
    <w:p w14:paraId="5E729D31">
      <w:pPr>
        <w:spacing w:after="160" w:line="360" w:lineRule="auto"/>
        <w:jc w:val="center"/>
        <w:rPr>
          <w:rFonts w:asciiTheme="minorHAnsi" w:hAnsiTheme="minorHAnsi" w:eastAsiaTheme="minorEastAsia" w:cstheme="minorBidi"/>
          <w:b/>
          <w:bCs/>
          <w:sz w:val="28"/>
          <w:szCs w:val="32"/>
          <w14:ligatures w14:val="standardContextual"/>
        </w:rPr>
      </w:pPr>
      <w:r>
        <w:rPr>
          <w:rFonts w:asciiTheme="minorHAnsi" w:hAnsiTheme="minorHAnsi" w:eastAsiaTheme="minorEastAsia" w:cstheme="minorBidi"/>
          <w:b/>
          <w:bCs/>
          <w:sz w:val="28"/>
          <w:szCs w:val="32"/>
          <w14:ligatures w14:val="standardContextual"/>
        </w:rPr>
        <w:t>企业全称：海底捞国际控股有限公司</w:t>
      </w:r>
    </w:p>
    <w:p w14:paraId="34F905F6">
      <w:pPr>
        <w:spacing w:after="160" w:line="360" w:lineRule="auto"/>
        <w:jc w:val="center"/>
        <w:rPr>
          <w:rFonts w:asciiTheme="minorHAnsi" w:hAnsiTheme="minorHAnsi" w:eastAsiaTheme="minorEastAsia" w:cstheme="minorBidi"/>
          <w:b/>
          <w:bCs/>
          <w:sz w:val="28"/>
          <w:szCs w:val="32"/>
          <w14:ligatures w14:val="standardContextual"/>
        </w:rPr>
      </w:pPr>
      <w:r>
        <w:rPr>
          <w:rFonts w:asciiTheme="minorHAnsi" w:hAnsiTheme="minorHAnsi" w:eastAsiaTheme="minorEastAsia" w:cstheme="minorBidi"/>
          <w:b/>
          <w:bCs/>
          <w:sz w:val="28"/>
          <w:szCs w:val="32"/>
          <w14:ligatures w14:val="standardContextual"/>
        </w:rPr>
        <w:t>案例名称：构建“嗨食安”全链条、全方位、全动员食品安全管理模式</w:t>
      </w:r>
    </w:p>
    <w:p w14:paraId="35433838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  <w:t>一、案例背景</w:t>
      </w:r>
    </w:p>
    <w:p w14:paraId="3B64562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自1994年成立以来，海底捞门店规模持续扩大，员工超10万人，传统以人力为主的食品安全监管方式面临效率瓶颈，存在风险响应滞后、违规行为难以实时捕捉、整改闭环周期长等问题。同时，餐饮行业鼠患、操作不规范等食安事件频发，对企业品牌构成潜在威胁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eastAsia="zh-CN"/>
        </w:rPr>
        <w:t>。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为了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响应国家市场监督管理总局发布的《食品生产经营企业落实食品安全主体责任监督管理规定》《企业食品安全管理人员监督抽查考核指南》等政策要求，落实企业主体责任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eastAsia="zh-CN"/>
        </w:rPr>
        <w:t>。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海底捞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企业坚持将食品安全作为发展核心，需要构建更加系统化、智能化、全员化的管理模式，以适应规模化、连锁化经营的需求，提升管理效率与风险防控能力。推动从“人防”向“技防+人防”结合的战略转型，利用数字化、智能化手段实现对食品安全风险的精准防控，提升管理效率。</w:t>
      </w:r>
    </w:p>
    <w:p w14:paraId="3A2CCA24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2" w:firstLineChars="200"/>
        <w:jc w:val="both"/>
        <w:textAlignment w:val="auto"/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  <w:t>2. 实施目的</w:t>
      </w:r>
    </w:p>
    <w:p w14:paraId="3D5F5B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为了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解决传统食安监管中风险识别滞后、整改闭环不完整、全员参与度不足等问题，实现从被动应对到主动预防的转变。建立全链条、全方位、全动员的“嗨食安”管理模式，通过AI智能监控、三级数字化责任体系、全员培训考核等机制，实现风险实时预警、整改闭环管理、员工行为规范，最终降低食安异常事件、提升客户满意度。</w:t>
      </w:r>
    </w:p>
    <w:p w14:paraId="4C254BDA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  <w:t>二、实施过程与路径</w:t>
      </w:r>
    </w:p>
    <w:p w14:paraId="3988F6B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0" w:firstLineChars="200"/>
        <w:jc w:val="both"/>
        <w:textAlignment w:val="auto"/>
        <w:rPr>
          <w:rFonts w:hint="default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1、为了实现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全链条、全方位、全动员的“嗨食安”管理模式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eastAsia="zh-CN"/>
        </w:rPr>
        <w:t>，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持续迭代推进（典型案例时段：2025年1月-6月，其中AI系统、三级管控体系、证照系统等为前期已上线，专项活动周期明确）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eastAsia="zh-CN"/>
        </w:rPr>
        <w:t>，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通过如下步骤实现：</w:t>
      </w:r>
    </w:p>
    <w:p w14:paraId="6A2EF16E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2" w:firstLineChars="200"/>
        <w:jc w:val="both"/>
        <w:textAlignment w:val="auto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步骤一：系统梳理管控要点</w:t>
      </w:r>
    </w:p>
    <w:p w14:paraId="668981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系统分解及梳理顾客流、产品流、营运流的食品安全管控要点，建立动态风险管控清单，明确各层级责任主体。</w:t>
      </w:r>
    </w:p>
    <w:p w14:paraId="2ED99382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2" w:firstLineChars="200"/>
        <w:jc w:val="both"/>
        <w:textAlignment w:val="auto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步骤二：建设数字化、智能化基础设施</w:t>
      </w:r>
    </w:p>
    <w:p w14:paraId="705F72A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自主研发“AI智能食安监管系统”，覆盖门店全作业流程和全场景，搭载18类违规行为识别算法。</w:t>
      </w:r>
    </w:p>
    <w:p w14:paraId="019B611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构建“总部-大区-门店”三级数字化日、周、月主体责任监管体系，开发移动端APP主体责任系统。</w:t>
      </w:r>
    </w:p>
    <w:p w14:paraId="41DDFD4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搭建“总部-门店”两级数字化证照管理系统，引入OCR识别与三级预警机制。</w:t>
      </w:r>
    </w:p>
    <w:p w14:paraId="3D507055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2" w:firstLineChars="200"/>
        <w:jc w:val="both"/>
        <w:textAlignment w:val="auto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步骤三：转化落实在日常管控机制</w:t>
      </w:r>
    </w:p>
    <w:p w14:paraId="59D483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将风险管控清单转化至日管控、周排查、月调度机制中，利用信息化手段形成PDCA管理循环。</w:t>
      </w:r>
    </w:p>
    <w:p w14:paraId="67AFEEE6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2" w:firstLineChars="200"/>
        <w:jc w:val="both"/>
        <w:textAlignment w:val="auto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步骤四：开展全员专项活动</w:t>
      </w:r>
    </w:p>
    <w:p w14:paraId="2C511B1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2025年1-4月开展“315食品安全攻坚行动”，构建“培训-实践-认证-激励”四维机制。</w:t>
      </w:r>
    </w:p>
    <w:p w14:paraId="5733153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2025年4-6月组织“责任铸盾·管理赋能”十万人次食安大练兵行动，建立“培训-考核-应用”三阶闭环。</w:t>
      </w:r>
    </w:p>
    <w:p w14:paraId="5BD2ED1B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2" w:firstLineChars="200"/>
        <w:jc w:val="both"/>
        <w:textAlignment w:val="auto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步骤五：建立长效工作机制</w:t>
      </w:r>
    </w:p>
    <w:p w14:paraId="387312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构建“数据驱动改善”模型，开发违规场景仿真培训系统；将专项活动方法论固化为《食安管理指南》；建立统一的食品安全人才培养系统。</w:t>
      </w:r>
    </w:p>
    <w:p w14:paraId="38BEF5A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2、为了实现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全链条、全方位、全动员的“嗨食安”管理模式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eastAsia="zh-CN"/>
        </w:rPr>
        <w:t>，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过程中也面临了很多困难与挑战，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AI算法在复杂餐饮场景（光照、遮挡、人员密度高）中的识别准确率初期不达标，容易出现误报或漏报。全国数千家门店、超10万员工对新系统、新流程的接受度不一，部分门店存在执行惰性。日周月管控数据量庞大，如何有效整合、分析并驱动改善面临挑战。</w:t>
      </w:r>
    </w:p>
    <w:p w14:paraId="57CA694F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bCs w:val="0"/>
          <w:i w:val="0"/>
          <w:strike w:val="0"/>
          <w:color w:val="auto"/>
          <w:sz w:val="24"/>
          <w:u w:val="none"/>
          <w:lang w:val="en-US" w:eastAsia="zh-CN"/>
        </w:rPr>
        <w:t>3、为了解决这些困难与挑战，</w:t>
      </w:r>
      <w:r>
        <w:rPr>
          <w:rFonts w:hint="eastAsia" w:eastAsia="宋体"/>
          <w:b w:val="0"/>
          <w:bCs w:val="0"/>
          <w:i w:val="0"/>
          <w:strike w:val="0"/>
          <w:color w:val="auto"/>
          <w:sz w:val="24"/>
          <w:u w:val="none"/>
          <w:lang w:val="en-US" w:eastAsia="zh-CN"/>
        </w:rPr>
        <w:t>不断进行</w:t>
      </w:r>
      <w:r>
        <w:rPr>
          <w:rFonts w:eastAsia="宋体"/>
          <w:b w:val="0"/>
          <w:bCs w:val="0"/>
          <w:i w:val="0"/>
          <w:strike w:val="0"/>
          <w:color w:val="auto"/>
          <w:sz w:val="24"/>
          <w:u w:val="none"/>
        </w:rPr>
        <w:t>算法优化</w:t>
      </w:r>
      <w:r>
        <w:rPr>
          <w:rFonts w:hint="eastAsia" w:eastAsia="宋体"/>
          <w:b w:val="0"/>
          <w:bCs w:val="0"/>
          <w:i w:val="0"/>
          <w:strike w:val="0"/>
          <w:color w:val="auto"/>
          <w:sz w:val="24"/>
          <w:u w:val="none"/>
          <w:lang w:eastAsia="zh-CN"/>
        </w:rPr>
        <w:t>，</w:t>
      </w:r>
      <w:r>
        <w:rPr>
          <w:rFonts w:eastAsia="宋体"/>
          <w:b w:val="0"/>
          <w:bCs w:val="0"/>
          <w:i w:val="0"/>
          <w:strike w:val="0"/>
          <w:color w:val="auto"/>
          <w:sz w:val="24"/>
          <w:u w:val="none"/>
        </w:rPr>
        <w:t>持续采集门店真实场景数据，迭代训练模型，增加多角度摄像头覆盖，提高识别精度。</w:t>
      </w:r>
      <w:r>
        <w:rPr>
          <w:rFonts w:hint="eastAsia" w:eastAsia="宋体"/>
          <w:b w:val="0"/>
          <w:bCs w:val="0"/>
          <w:i w:val="0"/>
          <w:strike w:val="0"/>
          <w:color w:val="auto"/>
          <w:sz w:val="24"/>
          <w:u w:val="none"/>
          <w:lang w:val="en-US" w:eastAsia="zh-CN"/>
        </w:rPr>
        <w:t>建立</w:t>
      </w:r>
      <w:r>
        <w:rPr>
          <w:rFonts w:eastAsia="宋体"/>
          <w:b w:val="0"/>
          <w:bCs w:val="0"/>
          <w:i w:val="0"/>
          <w:strike w:val="0"/>
          <w:color w:val="auto"/>
          <w:sz w:val="24"/>
          <w:u w:val="none"/>
        </w:rPr>
        <w:t>激励机制：建立“AI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监管</w:t>
      </w:r>
      <w:r>
        <w:rPr>
          <w:rFonts w:eastAsia="宋体"/>
          <w:b w:val="0"/>
          <w:bCs w:val="0"/>
          <w:i w:val="0"/>
          <w:strike w:val="0"/>
          <w:color w:val="auto"/>
          <w:sz w:val="24"/>
          <w:u w:val="none"/>
        </w:rPr>
        <w:t>红黑榜”周通报机制，对表现优秀门店及个人给予评优激励，对问题门店公示帮扶。</w:t>
      </w:r>
      <w:r>
        <w:rPr>
          <w:rFonts w:hint="eastAsia" w:eastAsia="宋体"/>
          <w:b w:val="0"/>
          <w:bCs w:val="0"/>
          <w:i w:val="0"/>
          <w:strike w:val="0"/>
          <w:color w:val="auto"/>
          <w:sz w:val="24"/>
          <w:u w:val="none"/>
          <w:lang w:val="en-US" w:eastAsia="zh-CN"/>
        </w:rPr>
        <w:t>并建立</w:t>
      </w:r>
      <w:r>
        <w:rPr>
          <w:rFonts w:eastAsia="宋体"/>
          <w:b w:val="0"/>
          <w:bCs w:val="0"/>
          <w:i w:val="0"/>
          <w:strike w:val="0"/>
          <w:color w:val="auto"/>
          <w:sz w:val="24"/>
          <w:u w:val="none"/>
        </w:rPr>
        <w:t>数字化驾驶舱：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建立食安大数据分析中心，形成风险管控的数据驾驶舱，对各营运总部进行评比和考核，推动数据驱动管理。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并</w:t>
      </w:r>
      <w:r>
        <w:rPr>
          <w:rFonts w:hint="eastAsia" w:eastAsia="宋体"/>
          <w:b w:val="0"/>
          <w:bCs w:val="0"/>
          <w:i w:val="0"/>
          <w:strike w:val="0"/>
          <w:color w:val="auto"/>
          <w:sz w:val="24"/>
          <w:u w:val="none"/>
          <w:lang w:val="en-US" w:eastAsia="zh-CN"/>
        </w:rPr>
        <w:t>对</w:t>
      </w:r>
      <w:r>
        <w:rPr>
          <w:rFonts w:eastAsia="宋体"/>
          <w:b w:val="0"/>
          <w:bCs w:val="0"/>
          <w:i w:val="0"/>
          <w:strike w:val="0"/>
          <w:color w:val="auto"/>
          <w:sz w:val="24"/>
          <w:u w:val="none"/>
        </w:rPr>
        <w:t>方案</w:t>
      </w:r>
      <w:r>
        <w:rPr>
          <w:rFonts w:hint="eastAsia" w:eastAsia="宋体"/>
          <w:b w:val="0"/>
          <w:bCs w:val="0"/>
          <w:i w:val="0"/>
          <w:strike w:val="0"/>
          <w:color w:val="auto"/>
          <w:sz w:val="24"/>
          <w:u w:val="none"/>
          <w:lang w:val="en-US" w:eastAsia="zh-CN"/>
        </w:rPr>
        <w:t>进行</w:t>
      </w:r>
      <w:r>
        <w:rPr>
          <w:rFonts w:eastAsia="宋体"/>
          <w:b w:val="0"/>
          <w:bCs w:val="0"/>
          <w:i w:val="0"/>
          <w:strike w:val="0"/>
          <w:color w:val="auto"/>
          <w:sz w:val="24"/>
          <w:u w:val="none"/>
        </w:rPr>
        <w:t>优化：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初期AI仅做预警，后增加“追踪整改”功能，形成闭环；初期证照预警周期较长，后优化为“30-15-7天”三级预警。</w:t>
      </w:r>
    </w:p>
    <w:p w14:paraId="4D190418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  <w:t>三、成果与价值</w:t>
      </w:r>
    </w:p>
    <w:p w14:paraId="1DB48FC0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2" w:firstLineChars="200"/>
        <w:jc w:val="both"/>
        <w:textAlignment w:val="auto"/>
        <w:rPr>
          <w:rFonts w:hint="default" w:eastAsia="宋体"/>
          <w:b/>
          <w:bCs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  <w:t xml:space="preserve">1. </w:t>
      </w:r>
      <w:r>
        <w:rPr>
          <w:rFonts w:hint="eastAsia"/>
          <w:b/>
          <w:bCs w:val="0"/>
          <w:i w:val="0"/>
          <w:strike w:val="0"/>
          <w:color w:val="auto"/>
          <w:sz w:val="24"/>
          <w:u w:val="none"/>
          <w:lang w:val="en-US" w:eastAsia="zh-CN"/>
        </w:rPr>
        <w:t>实施成果如下：</w:t>
      </w:r>
    </w:p>
    <w:p w14:paraId="5F77DFB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2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自研AI食安监管系统：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行业领先的18类违规行为视觉识别，实现“实时监测-自动预警-快速整改”闭环。</w:t>
      </w:r>
    </w:p>
    <w:p w14:paraId="03FD663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2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三级数字化主体责任体系：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总部-大区-门店日周月排查线上化，数据驾驶舱驱动评比考核。</w:t>
      </w:r>
    </w:p>
    <w:p w14:paraId="1E506A9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2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全员食安大练兵模式：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超10万人次参与，政策对标、学习平台闯关、考核应用闭环。</w:t>
      </w:r>
    </w:p>
    <w:p w14:paraId="0452931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2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智能化证照管理：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auto"/>
          <w:sz w:val="24"/>
          <w:u w:val="none"/>
        </w:rPr>
        <w:t>OCR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+三级预警，100%覆盖门店，实现“零证照失效”。</w:t>
      </w:r>
    </w:p>
    <w:p w14:paraId="1DBEBE4F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2" w:firstLineChars="200"/>
        <w:jc w:val="both"/>
        <w:textAlignment w:val="auto"/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  <w:t>2. 应用成效（含数据）</w:t>
      </w:r>
    </w:p>
    <w:p w14:paraId="141B042B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2" w:firstLineChars="200"/>
        <w:jc w:val="both"/>
        <w:textAlignment w:val="auto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  <w:t>（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1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  <w:t>）</w:t>
      </w: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经济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效益</w:t>
      </w:r>
    </w:p>
    <w:p w14:paraId="1065A9ED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食安异常总数显著下降：2025年4月至6月，从10,237件下降至6,142件，降幅达40%。</w:t>
      </w:r>
    </w:p>
    <w:p w14:paraId="585807A0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环境管理类：垃圾桶未及时加盖问题周均发生率下降53%。</w:t>
      </w:r>
    </w:p>
    <w:p w14:paraId="528990E9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操作规范类：连续5周保持“零踩踏操作台”纪录。</w:t>
      </w:r>
    </w:p>
    <w:p w14:paraId="3973D94D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人员管理类：工服穿戴异常率稳定控制在0.3%以下。</w:t>
      </w:r>
    </w:p>
    <w:p w14:paraId="428E2DA1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证照管理：累计预警过期风险500次，整改完成率100%，避免因证照失效导致的经营中断或处罚。</w:t>
      </w:r>
    </w:p>
    <w:p w14:paraId="739E4CC1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2" w:firstLineChars="200"/>
        <w:jc w:val="both"/>
        <w:textAlignment w:val="auto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  <w:t>（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2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  <w:t>）</w:t>
      </w: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社会效益</w:t>
      </w:r>
    </w:p>
    <w:p w14:paraId="509A3E8C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全员参与度：315攻坚行动累计开展食安现场达标行动3,954店次，100%门店参与。</w:t>
      </w:r>
    </w:p>
    <w:p w14:paraId="7D1BB102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人才认证：评选门店食安达人3,954名、大区食安标兵168名、全国食安大国手10名。</w:t>
      </w:r>
    </w:p>
    <w:p w14:paraId="60D4CB5F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培训覆盖：食安大练兵首阶段参与52,097人，完成课程30,845人，17,056人通过标准化考试（含719名店经理、916名专职食品安全员）；异物防控微课堂完成76,890人次学习考核。</w:t>
      </w:r>
    </w:p>
    <w:p w14:paraId="3E19F46A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客户满意度：通过降低异物客诉等，提升客户满意度（具体数据可补充）。</w:t>
      </w:r>
    </w:p>
    <w:p w14:paraId="0A54E859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政策合规：实现新规发布后100日内完成全员贯标。</w:t>
      </w:r>
    </w:p>
    <w:p w14:paraId="6D2F85B4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2" w:firstLineChars="200"/>
        <w:jc w:val="both"/>
        <w:textAlignment w:val="auto"/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  <w:t>3. 推广复制价值</w:t>
      </w:r>
    </w:p>
    <w:p w14:paraId="204BF89F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适用场景：适用于大型连锁餐饮企业、食品加工企业、零售生鲜等需要规模化食品安全管控的行业；尤其适合门店数量多、分布广、人员流动性大的企业。</w:t>
      </w:r>
    </w:p>
    <w:p w14:paraId="12A41ECD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可推广的关键要素</w:t>
      </w:r>
    </w:p>
    <w:p w14:paraId="01774B35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标准化AI算法包：18类违规识别模型可迁移至同类餐饮或食品经营场景，只需针对性训练。</w:t>
      </w:r>
    </w:p>
    <w:p w14:paraId="72201360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三级数字化管控体系：日周月排查系统+驾驶舱考核机制，可适配不同规模企业的组织架构。</w:t>
      </w:r>
    </w:p>
    <w:p w14:paraId="1BC47B1C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证照管理方案：OCR+三级预警系统可独立复制至任何需要资质证照管理的行业（如药店、便利店、酒店）。</w:t>
      </w:r>
    </w:p>
    <w:p w14:paraId="2E41BE3D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全员培训考核模式：学习平台闯关+政策响应机制，可用于其他合规性培训。</w:t>
      </w:r>
    </w:p>
    <w:p w14:paraId="5DAEFF1C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注意事项与局限性</w:t>
      </w:r>
    </w:p>
    <w:p w14:paraId="61CC9C43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AI系统需要一定的硬件投入（摄像头、算力）及场景数据训练，中小企业可考虑轻量化方案或云服务。</w:t>
      </w:r>
    </w:p>
    <w:p w14:paraId="05C62FF5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三级管控体系依赖于企业数字化基础和组织执行力，建议分阶段推进。</w:t>
      </w:r>
    </w:p>
    <w:p w14:paraId="45938973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全员大练兵需要强大的学习</w:t>
      </w:r>
      <w:bookmarkStart w:id="9" w:name="_GoBack"/>
      <w:bookmarkEnd w:id="9"/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平台支持，可借助第三方企业学习平台实现。</w:t>
      </w:r>
    </w:p>
    <w:sectPr>
      <w:footerReference r:id="rId4" w:type="first"/>
      <w:footerReference r:id="rId3" w:type="default"/>
      <w:pgSz w:w="11906" w:h="16838"/>
      <w:pgMar w:top="851" w:right="1304" w:bottom="851" w:left="1304" w:header="851" w:footer="51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5130126"/>
    </w:sdtPr>
    <w:sdtContent>
      <w:p w14:paraId="56F76F7E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D7D2B28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D8790">
    <w:pPr>
      <w:pStyle w:val="8"/>
      <w:jc w:val="center"/>
    </w:pPr>
  </w:p>
  <w:p w14:paraId="7D0669DD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2D694E"/>
    <w:multiLevelType w:val="singleLevel"/>
    <w:tmpl w:val="ED2D69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F330B373"/>
    <w:multiLevelType w:val="singleLevel"/>
    <w:tmpl w:val="F330B3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3AA6F53C"/>
    <w:multiLevelType w:val="singleLevel"/>
    <w:tmpl w:val="3AA6F5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56178222"/>
    <w:multiLevelType w:val="singleLevel"/>
    <w:tmpl w:val="561782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77B01D39"/>
    <w:multiLevelType w:val="singleLevel"/>
    <w:tmpl w:val="77B01D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IxMzUyN2NlNmQ5NzFkODE0NWNhMjlmODFiYWRjYzU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3EA9"/>
    <w:rsid w:val="00395398"/>
    <w:rsid w:val="003A3FF1"/>
    <w:rsid w:val="003B1DC6"/>
    <w:rsid w:val="003B5A76"/>
    <w:rsid w:val="003C4626"/>
    <w:rsid w:val="003D254B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6432"/>
    <w:rsid w:val="004E1776"/>
    <w:rsid w:val="004E2A6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6D53"/>
    <w:rsid w:val="005939C4"/>
    <w:rsid w:val="00595F62"/>
    <w:rsid w:val="0059660E"/>
    <w:rsid w:val="0059677D"/>
    <w:rsid w:val="005A01EE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42B80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6282"/>
    <w:rsid w:val="009B1FBC"/>
    <w:rsid w:val="009B44FD"/>
    <w:rsid w:val="009B5092"/>
    <w:rsid w:val="009B58D4"/>
    <w:rsid w:val="009D151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404B"/>
    <w:rsid w:val="00A44D07"/>
    <w:rsid w:val="00A5641F"/>
    <w:rsid w:val="00A60FC4"/>
    <w:rsid w:val="00A613B5"/>
    <w:rsid w:val="00A711BF"/>
    <w:rsid w:val="00A77A2E"/>
    <w:rsid w:val="00A82218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32DB8"/>
    <w:rsid w:val="00B345F4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102F"/>
    <w:rsid w:val="00CE6AC0"/>
    <w:rsid w:val="00CF0503"/>
    <w:rsid w:val="00CF7407"/>
    <w:rsid w:val="00D12C59"/>
    <w:rsid w:val="00D12FE7"/>
    <w:rsid w:val="00D34ADA"/>
    <w:rsid w:val="00D35BBC"/>
    <w:rsid w:val="00D40A61"/>
    <w:rsid w:val="00D434DD"/>
    <w:rsid w:val="00D4701B"/>
    <w:rsid w:val="00D51D88"/>
    <w:rsid w:val="00D61C64"/>
    <w:rsid w:val="00D61FC4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7E32"/>
    <w:rsid w:val="00DE01D0"/>
    <w:rsid w:val="00DE05F0"/>
    <w:rsid w:val="00DE4016"/>
    <w:rsid w:val="00DE4A01"/>
    <w:rsid w:val="00DE68B6"/>
    <w:rsid w:val="00DF3EEA"/>
    <w:rsid w:val="00DF71CE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E1271"/>
    <w:rsid w:val="00EF3453"/>
    <w:rsid w:val="00F040B1"/>
    <w:rsid w:val="00F04333"/>
    <w:rsid w:val="00F11333"/>
    <w:rsid w:val="00F233DC"/>
    <w:rsid w:val="00F26A55"/>
    <w:rsid w:val="00F2760B"/>
    <w:rsid w:val="00F30D92"/>
    <w:rsid w:val="00F51E80"/>
    <w:rsid w:val="00F7410B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2182ED7"/>
    <w:rsid w:val="02353A89"/>
    <w:rsid w:val="02532161"/>
    <w:rsid w:val="02D92666"/>
    <w:rsid w:val="02F82EBD"/>
    <w:rsid w:val="034122DA"/>
    <w:rsid w:val="048C6A72"/>
    <w:rsid w:val="050414F1"/>
    <w:rsid w:val="05A73162"/>
    <w:rsid w:val="065F4421"/>
    <w:rsid w:val="06F105E8"/>
    <w:rsid w:val="073A38EF"/>
    <w:rsid w:val="0806270F"/>
    <w:rsid w:val="0808037B"/>
    <w:rsid w:val="08D20E84"/>
    <w:rsid w:val="09976787"/>
    <w:rsid w:val="0A23066B"/>
    <w:rsid w:val="0AEB2E9F"/>
    <w:rsid w:val="0BCD5792"/>
    <w:rsid w:val="0BCE693F"/>
    <w:rsid w:val="0CA05EF5"/>
    <w:rsid w:val="0CFC28ED"/>
    <w:rsid w:val="0D2E35AF"/>
    <w:rsid w:val="0DE56D46"/>
    <w:rsid w:val="0E3A4805"/>
    <w:rsid w:val="0E7A14ED"/>
    <w:rsid w:val="0F680533"/>
    <w:rsid w:val="101A32F0"/>
    <w:rsid w:val="101F18D4"/>
    <w:rsid w:val="108E1041"/>
    <w:rsid w:val="10A420CD"/>
    <w:rsid w:val="110C3198"/>
    <w:rsid w:val="1155539E"/>
    <w:rsid w:val="11B6100C"/>
    <w:rsid w:val="125A6BF4"/>
    <w:rsid w:val="129739A4"/>
    <w:rsid w:val="1367395A"/>
    <w:rsid w:val="14467430"/>
    <w:rsid w:val="16021A7C"/>
    <w:rsid w:val="16DA2710"/>
    <w:rsid w:val="184E68C6"/>
    <w:rsid w:val="18ED2570"/>
    <w:rsid w:val="190A67E8"/>
    <w:rsid w:val="19C86B39"/>
    <w:rsid w:val="1AA650CC"/>
    <w:rsid w:val="1B32070E"/>
    <w:rsid w:val="1B5A0736"/>
    <w:rsid w:val="1D903E12"/>
    <w:rsid w:val="1E0C5F9A"/>
    <w:rsid w:val="1F21192A"/>
    <w:rsid w:val="1F244D10"/>
    <w:rsid w:val="1F3C5FFF"/>
    <w:rsid w:val="1F58270D"/>
    <w:rsid w:val="1FB74DC5"/>
    <w:rsid w:val="1FEA4A2C"/>
    <w:rsid w:val="20596D20"/>
    <w:rsid w:val="208241C4"/>
    <w:rsid w:val="20CD3C81"/>
    <w:rsid w:val="20FA7BE6"/>
    <w:rsid w:val="21381626"/>
    <w:rsid w:val="21594C04"/>
    <w:rsid w:val="2231743A"/>
    <w:rsid w:val="23660ACB"/>
    <w:rsid w:val="23CE2173"/>
    <w:rsid w:val="240A361F"/>
    <w:rsid w:val="26A10E3D"/>
    <w:rsid w:val="271C3D6F"/>
    <w:rsid w:val="27D72D69"/>
    <w:rsid w:val="289E20A9"/>
    <w:rsid w:val="28A80261"/>
    <w:rsid w:val="28B83DD5"/>
    <w:rsid w:val="2900009D"/>
    <w:rsid w:val="2C67409A"/>
    <w:rsid w:val="2CAE3E5B"/>
    <w:rsid w:val="2D594220"/>
    <w:rsid w:val="2D6C5794"/>
    <w:rsid w:val="2D8E1F75"/>
    <w:rsid w:val="2E0651C1"/>
    <w:rsid w:val="2E494294"/>
    <w:rsid w:val="2E601203"/>
    <w:rsid w:val="30452754"/>
    <w:rsid w:val="33C551F0"/>
    <w:rsid w:val="365D1769"/>
    <w:rsid w:val="37070849"/>
    <w:rsid w:val="373158C6"/>
    <w:rsid w:val="37A4253C"/>
    <w:rsid w:val="382947EF"/>
    <w:rsid w:val="382D5936"/>
    <w:rsid w:val="38FB618B"/>
    <w:rsid w:val="399207D5"/>
    <w:rsid w:val="39A045B9"/>
    <w:rsid w:val="39E6508D"/>
    <w:rsid w:val="3B5652C9"/>
    <w:rsid w:val="3BAF37EC"/>
    <w:rsid w:val="3C2F4917"/>
    <w:rsid w:val="3C7F36CC"/>
    <w:rsid w:val="3D601F95"/>
    <w:rsid w:val="3D673DEF"/>
    <w:rsid w:val="3DD84CED"/>
    <w:rsid w:val="3E8D7A3D"/>
    <w:rsid w:val="401C35B7"/>
    <w:rsid w:val="402C725C"/>
    <w:rsid w:val="40441C1B"/>
    <w:rsid w:val="40B26274"/>
    <w:rsid w:val="412A5860"/>
    <w:rsid w:val="422F7524"/>
    <w:rsid w:val="42E508EF"/>
    <w:rsid w:val="433C41A2"/>
    <w:rsid w:val="43C26223"/>
    <w:rsid w:val="44F464B2"/>
    <w:rsid w:val="45815C6A"/>
    <w:rsid w:val="45B7168C"/>
    <w:rsid w:val="47820541"/>
    <w:rsid w:val="48362D3C"/>
    <w:rsid w:val="487F4091"/>
    <w:rsid w:val="49CB71B2"/>
    <w:rsid w:val="4AC97E97"/>
    <w:rsid w:val="4B180E1F"/>
    <w:rsid w:val="4B5F34A2"/>
    <w:rsid w:val="4BDC6EAE"/>
    <w:rsid w:val="4BF929FE"/>
    <w:rsid w:val="4CB8347F"/>
    <w:rsid w:val="4D21045F"/>
    <w:rsid w:val="4F654551"/>
    <w:rsid w:val="508A593E"/>
    <w:rsid w:val="50C82E27"/>
    <w:rsid w:val="51CC4CAF"/>
    <w:rsid w:val="51D442CE"/>
    <w:rsid w:val="526F5525"/>
    <w:rsid w:val="52D665A1"/>
    <w:rsid w:val="532540D9"/>
    <w:rsid w:val="53BB67EB"/>
    <w:rsid w:val="56571574"/>
    <w:rsid w:val="57AE07FF"/>
    <w:rsid w:val="58230B45"/>
    <w:rsid w:val="594D6137"/>
    <w:rsid w:val="5ABD1D13"/>
    <w:rsid w:val="5AEE394A"/>
    <w:rsid w:val="5B154B1A"/>
    <w:rsid w:val="5B417928"/>
    <w:rsid w:val="5B7200D7"/>
    <w:rsid w:val="5B7A7F06"/>
    <w:rsid w:val="5BEF5441"/>
    <w:rsid w:val="5C9E00F1"/>
    <w:rsid w:val="5DB20C5F"/>
    <w:rsid w:val="5E5140D5"/>
    <w:rsid w:val="5E700CD6"/>
    <w:rsid w:val="5F373350"/>
    <w:rsid w:val="5F856747"/>
    <w:rsid w:val="616F4D4D"/>
    <w:rsid w:val="62065A1D"/>
    <w:rsid w:val="63555AEA"/>
    <w:rsid w:val="65E120E1"/>
    <w:rsid w:val="66522FDF"/>
    <w:rsid w:val="680C5674"/>
    <w:rsid w:val="69E45846"/>
    <w:rsid w:val="6A015822"/>
    <w:rsid w:val="6B5C26CD"/>
    <w:rsid w:val="6BBB556A"/>
    <w:rsid w:val="6C6C15BD"/>
    <w:rsid w:val="6D1A3FF7"/>
    <w:rsid w:val="6DA57E98"/>
    <w:rsid w:val="6F3A1C64"/>
    <w:rsid w:val="701A2DBF"/>
    <w:rsid w:val="70CA6A0A"/>
    <w:rsid w:val="70F42379"/>
    <w:rsid w:val="72C22F53"/>
    <w:rsid w:val="73942E89"/>
    <w:rsid w:val="744321B9"/>
    <w:rsid w:val="74B23D8F"/>
    <w:rsid w:val="75364E1A"/>
    <w:rsid w:val="76E06B73"/>
    <w:rsid w:val="771375E7"/>
    <w:rsid w:val="773330BD"/>
    <w:rsid w:val="79544A00"/>
    <w:rsid w:val="79901CF7"/>
    <w:rsid w:val="7A7A445B"/>
    <w:rsid w:val="7AC25029"/>
    <w:rsid w:val="7B160627"/>
    <w:rsid w:val="7B175F46"/>
    <w:rsid w:val="7CF12EC2"/>
    <w:rsid w:val="7D314531"/>
    <w:rsid w:val="7E3F1C43"/>
    <w:rsid w:val="7E9A3EA4"/>
    <w:rsid w:val="7FB5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3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autoRedefine/>
    <w:qFormat/>
    <w:uiPriority w:val="0"/>
  </w:style>
  <w:style w:type="character" w:styleId="17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标题 3 字符"/>
    <w:basedOn w:val="14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szCs w:val="24"/>
      <w:lang w:val="en-GB"/>
    </w:rPr>
  </w:style>
  <w:style w:type="character" w:customStyle="1" w:styleId="22">
    <w:name w:val="批注框文本 字符"/>
    <w:basedOn w:val="14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"/>
    <w:basedOn w:val="14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页脚 字符"/>
    <w:basedOn w:val="14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name"/>
    <w:qFormat/>
    <w:uiPriority w:val="0"/>
  </w:style>
  <w:style w:type="character" w:customStyle="1" w:styleId="27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8">
    <w:name w:val="_Style 19"/>
    <w:basedOn w:val="1"/>
    <w:next w:val="21"/>
    <w:qFormat/>
    <w:uiPriority w:val="34"/>
    <w:pPr>
      <w:ind w:firstLine="420" w:firstLineChars="200"/>
    </w:pPr>
  </w:style>
  <w:style w:type="character" w:customStyle="1" w:styleId="29">
    <w:name w:val="未处理的提及3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styleId="3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1">
    <w:name w:val="标题 字符"/>
    <w:basedOn w:val="14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未处理的提及4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02BDF-626A-4097-84EB-3853DD87F3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2665</Words>
  <Characters>2836</Characters>
  <Lines>24</Lines>
  <Paragraphs>6</Paragraphs>
  <TotalTime>10</TotalTime>
  <ScaleCrop>false</ScaleCrop>
  <LinksUpToDate>false</LinksUpToDate>
  <CharactersWithSpaces>2876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2024-09-12T05:47:00Z</dcterms:created>
  <dc:creator>dell</dc:creator>
  <cp:lastModifiedBy>张志英</cp:lastModifiedBy>
  <cp:lastPrinted>2025-06-05T01:01:00Z</cp:lastPrinted>
  <dcterms:modified xsi:type="dcterms:W3CDTF">2026-04-27T11:46:03Z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809301B26DB44DCEBE6AC2083C0BA662_13</vt:lpwstr>
  </property>
  <property fmtid="{D5CDD505-2E9C-101B-9397-08002B2CF9AE}" pid="4" name="KSOTemplateDocerSaveRecord">
    <vt:lpwstr>eyJoZGlkIjoiN2YzNjBkOTgyNWQ1YTMxYzM3MzMwNWFiODNmOWIzYWMiLCJ1c2VySWQiOiIxMjQ4MzY5ODMwIn0=</vt:lpwstr>
  </property>
</Properties>
</file>