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4A2DF">
      <w:pPr>
        <w:pStyle w:val="4"/>
        <w:shd w:val="clear" w:color="auto" w:fill="FFFFFF"/>
        <w:spacing w:before="156" w:beforeLines="50" w:beforeAutospacing="0" w:after="156" w:afterLines="50" w:afterAutospacing="0" w:line="360" w:lineRule="auto"/>
        <w:jc w:val="center"/>
        <w:rPr>
          <w:rFonts w:hint="eastAsia" w:ascii="仿宋" w:hAnsi="仿宋" w:eastAsia="仿宋" w:cs="仿宋"/>
          <w:color w:val="333333"/>
          <w:spacing w:val="-6"/>
          <w:sz w:val="28"/>
          <w:szCs w:val="28"/>
          <w:shd w:val="clear" w:color="auto" w:fill="FFFFFF"/>
          <w:lang w:eastAsia="zh-CN"/>
        </w:rPr>
      </w:pPr>
      <w:r>
        <w:rPr>
          <w:rFonts w:hint="eastAsia" w:ascii="仿宋" w:hAnsi="仿宋" w:eastAsia="仿宋"/>
          <w:b/>
          <w:bCs/>
          <w:color w:val="333333"/>
          <w:spacing w:val="-6"/>
          <w:sz w:val="36"/>
          <w:szCs w:val="36"/>
          <w:shd w:val="clear" w:color="auto" w:fill="FFFFFF"/>
          <w:lang w:eastAsia="zh-CN"/>
        </w:rPr>
        <w:t>数智质控筑牢食品安全防线</w:t>
      </w:r>
    </w:p>
    <w:p w14:paraId="3CCB2AE1">
      <w:pPr>
        <w:numPr>
          <w:ilvl w:val="0"/>
          <w:numId w:val="1"/>
        </w:numPr>
        <w:jc w:val="left"/>
        <w:rPr>
          <w:rFonts w:ascii="仿宋" w:hAnsi="仿宋" w:eastAsia="仿宋" w:cs="仿宋"/>
          <w:color w:val="333333"/>
          <w:spacing w:val="-6"/>
          <w:kern w:val="0"/>
          <w:sz w:val="28"/>
          <w:szCs w:val="28"/>
          <w:shd w:val="clear" w:color="auto" w:fill="FFFFFF"/>
        </w:rPr>
      </w:pPr>
      <w:r>
        <w:rPr>
          <w:rFonts w:hint="eastAsia" w:ascii="仿宋" w:hAnsi="仿宋" w:eastAsia="仿宋" w:cs="宋体"/>
          <w:b/>
          <w:bCs/>
          <w:color w:val="333333"/>
          <w:spacing w:val="-6"/>
          <w:kern w:val="0"/>
          <w:sz w:val="30"/>
          <w:szCs w:val="30"/>
          <w:shd w:val="clear" w:color="auto" w:fill="FFFFFF"/>
        </w:rPr>
        <w:t>案例背景</w:t>
      </w:r>
    </w:p>
    <w:p w14:paraId="4309AA3B">
      <w:pPr>
        <w:ind w:firstLine="536" w:firstLineChars="200"/>
        <w:rPr>
          <w:rFonts w:hint="eastAsia"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调味品行业作为传统制造业，其生产加工环节长期面临</w:t>
      </w:r>
      <w:r>
        <w:rPr>
          <w:rFonts w:hint="eastAsia" w:ascii="仿宋" w:hAnsi="仿宋" w:eastAsia="仿宋" w:cs="仿宋"/>
          <w:b/>
          <w:bCs/>
          <w:color w:val="333333"/>
          <w:spacing w:val="-6"/>
          <w:kern w:val="0"/>
          <w:sz w:val="28"/>
          <w:szCs w:val="28"/>
          <w:shd w:val="clear" w:color="auto" w:fill="FFFFFF"/>
        </w:rPr>
        <w:t>质量管控复杂度高</w:t>
      </w:r>
      <w:r>
        <w:rPr>
          <w:rFonts w:hint="eastAsia" w:ascii="仿宋" w:hAnsi="仿宋" w:eastAsia="仿宋" w:cs="仿宋"/>
          <w:color w:val="333333"/>
          <w:spacing w:val="-6"/>
          <w:kern w:val="0"/>
          <w:sz w:val="28"/>
          <w:szCs w:val="28"/>
          <w:shd w:val="clear" w:color="auto" w:fill="FFFFFF"/>
        </w:rPr>
        <w:t>的核心挑战：生产全程涉及2000余项检测指标，传统人工抽检效率低、质量控制精度不足、响应慢，难以实现全过程实时监控。</w:t>
      </w:r>
    </w:p>
    <w:p w14:paraId="182828C1">
      <w:pPr>
        <w:ind w:firstLine="538" w:firstLineChars="200"/>
        <w:jc w:val="center"/>
        <w:rPr>
          <w:rFonts w:hint="default" w:ascii="仿宋" w:hAnsi="仿宋" w:eastAsia="仿宋" w:cs="仿宋"/>
          <w:b/>
          <w:bCs/>
          <w:color w:val="333333"/>
          <w:spacing w:val="-6"/>
          <w:kern w:val="0"/>
          <w:sz w:val="28"/>
          <w:szCs w:val="28"/>
          <w:shd w:val="clear" w:color="auto" w:fill="FFFFFF"/>
          <w:lang w:val="en-US" w:eastAsia="zh-CN"/>
        </w:rPr>
      </w:pPr>
      <w:r>
        <w:rPr>
          <w:rFonts w:hint="eastAsia" w:ascii="仿宋" w:hAnsi="仿宋" w:eastAsia="仿宋" w:cs="仿宋"/>
          <w:b/>
          <w:bCs/>
          <w:color w:val="333333"/>
          <w:spacing w:val="-6"/>
          <w:kern w:val="0"/>
          <w:sz w:val="28"/>
          <w:szCs w:val="28"/>
          <w:shd w:val="clear" w:color="auto" w:fill="FFFFFF"/>
          <w:lang w:eastAsia="zh-CN"/>
        </w:rPr>
        <w:t>表</w:t>
      </w:r>
      <w:r>
        <w:rPr>
          <w:rFonts w:hint="eastAsia" w:ascii="仿宋" w:hAnsi="仿宋" w:eastAsia="仿宋" w:cs="仿宋"/>
          <w:b/>
          <w:bCs/>
          <w:color w:val="333333"/>
          <w:spacing w:val="-6"/>
          <w:kern w:val="0"/>
          <w:sz w:val="28"/>
          <w:szCs w:val="28"/>
          <w:shd w:val="clear" w:color="auto" w:fill="FFFFFF"/>
          <w:lang w:val="en-US" w:eastAsia="zh-CN"/>
        </w:rPr>
        <w:t>1 质量管控相关方挑战分析表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7593"/>
      </w:tblGrid>
      <w:tr w14:paraId="2799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3" w:hRule="atLeast"/>
        </w:trPr>
        <w:tc>
          <w:tcPr>
            <w:tcW w:w="1802" w:type="dxa"/>
            <w:tcBorders>
              <w:top w:val="single" w:color="000000" w:sz="12" w:space="0"/>
              <w:left w:val="nil"/>
              <w:bottom w:val="single" w:color="000000" w:sz="4" w:space="0"/>
              <w:right w:val="nil"/>
              <w:tl2br w:val="nil"/>
            </w:tcBorders>
            <w:shd w:val="clear" w:color="auto" w:fill="FFFFFF"/>
            <w:vAlign w:val="center"/>
          </w:tcPr>
          <w:p w14:paraId="2247AAE4">
            <w:pPr>
              <w:jc w:val="center"/>
              <w:rPr>
                <w:rFonts w:ascii="仿宋" w:hAnsi="仿宋" w:eastAsia="仿宋" w:cs="仿宋"/>
                <w:color w:val="000000"/>
                <w:spacing w:val="-6"/>
                <w:kern w:val="0"/>
                <w:sz w:val="28"/>
                <w:szCs w:val="28"/>
                <w:shd w:val="clear" w:color="auto" w:fill="FFFFFF"/>
              </w:rPr>
            </w:pPr>
            <w:r>
              <w:rPr>
                <w:rFonts w:hint="eastAsia" w:ascii="仿宋" w:hAnsi="仿宋" w:eastAsia="仿宋" w:cs="仿宋"/>
                <w:color w:val="000000"/>
                <w:spacing w:val="-6"/>
                <w:kern w:val="0"/>
                <w:sz w:val="28"/>
                <w:szCs w:val="28"/>
                <w:shd w:val="clear" w:color="auto" w:fill="FFFFFF"/>
              </w:rPr>
              <w:t>相关方</w:t>
            </w:r>
          </w:p>
        </w:tc>
        <w:tc>
          <w:tcPr>
            <w:tcW w:w="7593" w:type="dxa"/>
            <w:tcBorders>
              <w:top w:val="single" w:color="000000" w:sz="12" w:space="0"/>
              <w:left w:val="nil"/>
              <w:bottom w:val="single" w:color="000000" w:sz="4" w:space="0"/>
              <w:right w:val="nil"/>
            </w:tcBorders>
            <w:shd w:val="clear" w:color="auto" w:fill="FFFFFF"/>
            <w:vAlign w:val="center"/>
          </w:tcPr>
          <w:p w14:paraId="71FF377F">
            <w:pPr>
              <w:jc w:val="center"/>
              <w:rPr>
                <w:rFonts w:ascii="仿宋" w:hAnsi="仿宋" w:eastAsia="仿宋" w:cs="仿宋"/>
                <w:color w:val="000000"/>
                <w:spacing w:val="-6"/>
                <w:kern w:val="0"/>
                <w:sz w:val="28"/>
                <w:szCs w:val="28"/>
                <w:shd w:val="clear" w:color="auto" w:fill="FFFFFF"/>
              </w:rPr>
            </w:pPr>
            <w:r>
              <w:rPr>
                <w:rFonts w:hint="eastAsia" w:ascii="仿宋" w:hAnsi="仿宋" w:eastAsia="仿宋" w:cs="仿宋"/>
                <w:color w:val="000000"/>
                <w:spacing w:val="-6"/>
                <w:kern w:val="0"/>
                <w:sz w:val="28"/>
                <w:szCs w:val="28"/>
                <w:shd w:val="clear" w:color="auto" w:fill="FFFFFF"/>
              </w:rPr>
              <w:t>具体表现</w:t>
            </w:r>
          </w:p>
        </w:tc>
      </w:tr>
      <w:tr w14:paraId="3DB0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single" w:color="000000" w:sz="4" w:space="0"/>
              <w:left w:val="nil"/>
              <w:bottom w:val="nil"/>
              <w:right w:val="nil"/>
            </w:tcBorders>
            <w:shd w:val="clear" w:color="auto" w:fill="FFFFFF"/>
            <w:vAlign w:val="center"/>
          </w:tcPr>
          <w:p w14:paraId="35E1EFF1">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客户</w:t>
            </w:r>
          </w:p>
        </w:tc>
        <w:tc>
          <w:tcPr>
            <w:tcW w:w="7593" w:type="dxa"/>
            <w:tcBorders>
              <w:top w:val="single" w:color="000000" w:sz="4" w:space="0"/>
              <w:left w:val="nil"/>
              <w:bottom w:val="nil"/>
              <w:right w:val="nil"/>
            </w:tcBorders>
            <w:shd w:val="clear" w:color="auto" w:fill="FFFFFF"/>
            <w:vAlign w:val="center"/>
          </w:tcPr>
          <w:p w14:paraId="7BE14576">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客户对产品新鲜度、小批量定制化需求提升，导致质量管理难度升级</w:t>
            </w:r>
          </w:p>
        </w:tc>
      </w:tr>
      <w:tr w14:paraId="13B1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72C58764">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政府</w:t>
            </w:r>
          </w:p>
        </w:tc>
        <w:tc>
          <w:tcPr>
            <w:tcW w:w="7593" w:type="dxa"/>
            <w:tcBorders>
              <w:top w:val="nil"/>
              <w:left w:val="nil"/>
              <w:bottom w:val="nil"/>
              <w:right w:val="nil"/>
            </w:tcBorders>
            <w:shd w:val="clear" w:color="auto" w:fill="FFFFFF"/>
            <w:vAlign w:val="center"/>
          </w:tcPr>
          <w:p w14:paraId="518AFBE6">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部分地区政府监管范围扩大、技术手段升级、处罚力度加大</w:t>
            </w:r>
          </w:p>
        </w:tc>
      </w:tr>
      <w:tr w14:paraId="6281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67E479A8">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股东</w:t>
            </w:r>
          </w:p>
        </w:tc>
        <w:tc>
          <w:tcPr>
            <w:tcW w:w="7593" w:type="dxa"/>
            <w:tcBorders>
              <w:top w:val="nil"/>
              <w:left w:val="nil"/>
              <w:bottom w:val="nil"/>
              <w:right w:val="nil"/>
            </w:tcBorders>
            <w:shd w:val="clear" w:color="auto" w:fill="FFFFFF"/>
            <w:vAlign w:val="center"/>
          </w:tcPr>
          <w:p w14:paraId="20D5BC91">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传统人工检测成本高，检测精度低</w:t>
            </w:r>
          </w:p>
        </w:tc>
      </w:tr>
      <w:tr w14:paraId="3956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06373893">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员工</w:t>
            </w:r>
          </w:p>
        </w:tc>
        <w:tc>
          <w:tcPr>
            <w:tcW w:w="7593" w:type="dxa"/>
            <w:tcBorders>
              <w:top w:val="nil"/>
              <w:left w:val="nil"/>
              <w:bottom w:val="nil"/>
              <w:right w:val="nil"/>
            </w:tcBorders>
            <w:shd w:val="clear" w:color="auto" w:fill="FFFFFF"/>
            <w:vAlign w:val="center"/>
          </w:tcPr>
          <w:p w14:paraId="7626DC80">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传统人员检测效率低，无法进行实时监控</w:t>
            </w:r>
          </w:p>
        </w:tc>
      </w:tr>
      <w:tr w14:paraId="2CB4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802" w:type="dxa"/>
            <w:tcBorders>
              <w:top w:val="nil"/>
              <w:left w:val="nil"/>
              <w:bottom w:val="single" w:color="000000" w:sz="12" w:space="0"/>
              <w:right w:val="nil"/>
            </w:tcBorders>
            <w:shd w:val="clear" w:color="auto" w:fill="FFFFFF"/>
            <w:vAlign w:val="center"/>
          </w:tcPr>
          <w:p w14:paraId="44D96DD1">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供应商</w:t>
            </w:r>
          </w:p>
        </w:tc>
        <w:tc>
          <w:tcPr>
            <w:tcW w:w="7593" w:type="dxa"/>
            <w:tcBorders>
              <w:top w:val="nil"/>
              <w:left w:val="nil"/>
              <w:bottom w:val="single" w:color="000000" w:sz="12" w:space="0"/>
              <w:right w:val="nil"/>
            </w:tcBorders>
            <w:shd w:val="clear" w:color="auto" w:fill="FFFFFF"/>
            <w:vAlign w:val="center"/>
          </w:tcPr>
          <w:p w14:paraId="69870B60">
            <w:pP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黄豆原料作为核心原料，因产地差异导致质量不稳定，传统人工分拣标准不统一、效率低下，容易漏检</w:t>
            </w:r>
          </w:p>
        </w:tc>
      </w:tr>
    </w:tbl>
    <w:p w14:paraId="40DC55E0">
      <w:pPr>
        <w:ind w:firstLine="536" w:firstLineChars="200"/>
        <w:rPr>
          <w:rFonts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国家《“十四五”智能制造发展规划》明确提出“推动AI与制造业深度融合”，海天基于企业面临的核心挑战，开展</w:t>
      </w:r>
      <w:r>
        <w:rPr>
          <w:rFonts w:hint="eastAsia" w:ascii="仿宋" w:hAnsi="仿宋" w:eastAsia="仿宋" w:cs="仿宋"/>
          <w:b/>
          <w:bCs/>
          <w:color w:val="333333"/>
          <w:spacing w:val="-6"/>
          <w:kern w:val="0"/>
          <w:sz w:val="28"/>
          <w:szCs w:val="28"/>
          <w:shd w:val="clear" w:color="auto" w:fill="FFFFFF"/>
        </w:rPr>
        <w:t>数字精益</w:t>
      </w:r>
      <w:r>
        <w:rPr>
          <w:rFonts w:hint="eastAsia" w:ascii="仿宋" w:hAnsi="仿宋" w:eastAsia="仿宋" w:cs="仿宋"/>
          <w:color w:val="333333"/>
          <w:spacing w:val="-6"/>
          <w:kern w:val="0"/>
          <w:sz w:val="28"/>
          <w:szCs w:val="28"/>
          <w:shd w:val="clear" w:color="auto" w:fill="FFFFFF"/>
        </w:rPr>
        <w:t>，以</w:t>
      </w:r>
      <w:r>
        <w:rPr>
          <w:rFonts w:hint="eastAsia" w:ascii="仿宋" w:hAnsi="仿宋" w:eastAsia="仿宋" w:cs="仿宋"/>
          <w:b/>
          <w:bCs/>
          <w:color w:val="333333"/>
          <w:spacing w:val="-6"/>
          <w:kern w:val="0"/>
          <w:sz w:val="28"/>
          <w:szCs w:val="28"/>
          <w:shd w:val="clear" w:color="auto" w:fill="FFFFFF"/>
        </w:rPr>
        <w:t>建设</w:t>
      </w:r>
      <w:r>
        <w:rPr>
          <w:rFonts w:hint="eastAsia" w:ascii="仿宋" w:hAnsi="仿宋" w:eastAsia="仿宋" w:cs="仿宋"/>
          <w:b/>
          <w:bCs/>
          <w:spacing w:val="-6"/>
          <w:kern w:val="0"/>
          <w:sz w:val="28"/>
          <w:szCs w:val="28"/>
          <w:shd w:val="clear" w:color="auto" w:fill="FFFFFF"/>
        </w:rPr>
        <w:t>灯塔工厂</w:t>
      </w:r>
      <w:r>
        <w:rPr>
          <w:rFonts w:hint="eastAsia" w:ascii="仿宋" w:hAnsi="仿宋" w:eastAsia="仿宋" w:cs="仿宋"/>
          <w:color w:val="333333"/>
          <w:spacing w:val="-6"/>
          <w:kern w:val="0"/>
          <w:sz w:val="28"/>
          <w:szCs w:val="28"/>
          <w:shd w:val="clear" w:color="auto" w:fill="FFFFFF"/>
        </w:rPr>
        <w:t>为引领，以智能中台为依托，在生产与加工环节通过数字化转型实现质量品控技术的智能化和精准化，</w:t>
      </w:r>
      <w:r>
        <w:rPr>
          <w:rFonts w:hint="eastAsia" w:ascii="仿宋" w:hAnsi="仿宋" w:eastAsia="仿宋" w:cs="宋体"/>
          <w:color w:val="333333"/>
          <w:spacing w:val="-6"/>
          <w:kern w:val="0"/>
          <w:sz w:val="28"/>
          <w:szCs w:val="28"/>
          <w:shd w:val="clear" w:color="auto" w:fill="FFFFFF"/>
        </w:rPr>
        <w:t>实施智能制造战略转型。</w:t>
      </w:r>
    </w:p>
    <w:p w14:paraId="0C27693F">
      <w:pPr>
        <w:ind w:firstLine="536" w:firstLineChars="200"/>
        <w:rPr>
          <w:rFonts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通过品控数字化、智能化技术，破解加工全链条协同低效、质量控制精度不足、检测效率低导致响应不及时、难以实现全过程实时监控等问题，实现问题早发现、源头防、过程避、快处置。</w:t>
      </w:r>
    </w:p>
    <w:p w14:paraId="38CB5C92">
      <w:pPr>
        <w:numPr>
          <w:ilvl w:val="0"/>
          <w:numId w:val="1"/>
        </w:numPr>
        <w:jc w:val="left"/>
        <w:rPr>
          <w:rFonts w:ascii="仿宋" w:hAnsi="仿宋" w:eastAsia="仿宋" w:cs="宋体"/>
          <w:b/>
          <w:bCs/>
          <w:color w:val="333333"/>
          <w:spacing w:val="-6"/>
          <w:kern w:val="0"/>
          <w:sz w:val="30"/>
          <w:szCs w:val="30"/>
          <w:shd w:val="clear" w:color="auto" w:fill="FFFFFF"/>
        </w:rPr>
      </w:pPr>
      <w:r>
        <w:rPr>
          <w:rFonts w:hint="eastAsia" w:ascii="仿宋" w:hAnsi="仿宋" w:eastAsia="仿宋" w:cs="宋体"/>
          <w:b/>
          <w:bCs/>
          <w:color w:val="333333"/>
          <w:spacing w:val="-6"/>
          <w:kern w:val="0"/>
          <w:sz w:val="30"/>
          <w:szCs w:val="30"/>
          <w:shd w:val="clear" w:color="auto" w:fill="FFFFFF"/>
        </w:rPr>
        <w:t>实施过程与路径</w:t>
      </w:r>
    </w:p>
    <w:p w14:paraId="24B30AAF">
      <w:pPr>
        <w:widowControl/>
        <w:shd w:val="clear" w:color="auto" w:fill="FFFFFF"/>
        <w:snapToGrid w:val="0"/>
        <w:spacing w:line="360" w:lineRule="auto"/>
        <w:ind w:firstLine="578"/>
        <w:jc w:val="left"/>
        <w:rPr>
          <w:rFonts w:hint="eastAsia" w:ascii="仿宋" w:hAnsi="仿宋" w:eastAsia="仿宋" w:cs="宋体"/>
          <w:b/>
          <w:bCs/>
          <w:spacing w:val="-6"/>
          <w:kern w:val="0"/>
          <w:sz w:val="30"/>
          <w:szCs w:val="30"/>
          <w:shd w:val="clear" w:color="auto" w:fill="FFFFFF"/>
          <w:lang w:eastAsia="zh-CN"/>
        </w:rPr>
      </w:pPr>
      <w:r>
        <w:rPr>
          <w:rFonts w:hint="eastAsia" w:ascii="仿宋" w:hAnsi="仿宋" w:eastAsia="仿宋" w:cs="宋体"/>
          <w:spacing w:val="-6"/>
          <w:kern w:val="0"/>
          <w:sz w:val="28"/>
          <w:szCs w:val="28"/>
          <w:shd w:val="clear" w:color="auto" w:fill="FFFFFF"/>
        </w:rPr>
        <w:t>海天作为行业龙头，我们需要成功应对大规模、高速度生产带来的食品安全系统性风险挑战，构建出与之匹配的、高效稳定的质量安全保障机制。海天与</w:t>
      </w:r>
      <w:r>
        <w:rPr>
          <w:rFonts w:hint="eastAsia" w:ascii="仿宋" w:hAnsi="仿宋" w:eastAsia="仿宋" w:cs="宋体"/>
          <w:spacing w:val="-6"/>
          <w:kern w:val="0"/>
          <w:sz w:val="28"/>
          <w:szCs w:val="28"/>
          <w:shd w:val="clear" w:color="auto" w:fill="FFFFFF"/>
          <w:lang w:eastAsia="zh-CN"/>
        </w:rPr>
        <w:t>众多</w:t>
      </w:r>
      <w:r>
        <w:rPr>
          <w:rFonts w:hint="eastAsia" w:ascii="仿宋" w:hAnsi="仿宋" w:eastAsia="仿宋" w:cs="宋体"/>
          <w:spacing w:val="-6"/>
          <w:kern w:val="0"/>
          <w:sz w:val="28"/>
          <w:szCs w:val="28"/>
          <w:shd w:val="clear" w:color="auto" w:fill="FFFFFF"/>
        </w:rPr>
        <w:t>知名机构合作，开展精益数字化转型工作，通过系统性的组织转型，全面提升企业各项业务指标</w:t>
      </w:r>
      <w:r>
        <w:rPr>
          <w:rFonts w:hint="eastAsia" w:ascii="仿宋" w:hAnsi="仿宋" w:eastAsia="仿宋" w:cs="宋体"/>
          <w:spacing w:val="-6"/>
          <w:kern w:val="0"/>
          <w:sz w:val="28"/>
          <w:szCs w:val="28"/>
          <w:shd w:val="clear" w:color="auto" w:fill="FFFFFF"/>
          <w:lang w:eastAsia="zh-CN"/>
        </w:rPr>
        <w:t>。</w:t>
      </w:r>
    </w:p>
    <w:p w14:paraId="6EED176E">
      <w:pPr>
        <w:rPr>
          <w:rFonts w:ascii="仿宋" w:hAnsi="仿宋" w:eastAsia="仿宋" w:cs="仿宋"/>
          <w:b/>
          <w:bCs/>
          <w:sz w:val="28"/>
          <w:szCs w:val="28"/>
          <w:highlight w:val="none"/>
        </w:rPr>
      </w:pPr>
      <w:r>
        <w:rPr>
          <w:rFonts w:hint="eastAsia" w:ascii="仿宋" w:hAnsi="仿宋" w:eastAsia="仿宋" w:cs="仿宋"/>
          <w:b/>
          <w:bCs/>
          <w:sz w:val="28"/>
          <w:szCs w:val="28"/>
          <w:highlight w:val="none"/>
        </w:rPr>
        <w:t>1.实施周期与流程</w:t>
      </w:r>
    </w:p>
    <w:p w14:paraId="06556B3B">
      <w:pPr>
        <w:ind w:firstLine="538" w:firstLineChars="200"/>
        <w:jc w:val="left"/>
        <w:rPr>
          <w:rFonts w:ascii="仿宋" w:hAnsi="仿宋" w:eastAsia="仿宋" w:cs="宋体"/>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实施周期：</w:t>
      </w:r>
      <w:r>
        <w:rPr>
          <w:rFonts w:hint="eastAsia" w:ascii="仿宋" w:hAnsi="仿宋" w:eastAsia="仿宋" w:cs="宋体"/>
          <w:spacing w:val="-6"/>
          <w:kern w:val="0"/>
          <w:sz w:val="28"/>
          <w:szCs w:val="28"/>
          <w:highlight w:val="none"/>
          <w:shd w:val="clear" w:color="auto" w:fill="FFFFFF"/>
        </w:rPr>
        <w:t>项目自20</w:t>
      </w:r>
      <w:r>
        <w:rPr>
          <w:rFonts w:hint="eastAsia" w:ascii="仿宋" w:hAnsi="仿宋" w:eastAsia="仿宋" w:cs="宋体"/>
          <w:spacing w:val="-6"/>
          <w:kern w:val="0"/>
          <w:sz w:val="28"/>
          <w:szCs w:val="28"/>
          <w:highlight w:val="none"/>
          <w:shd w:val="clear" w:color="auto" w:fill="FFFFFF"/>
          <w:lang w:val="en-US" w:eastAsia="zh-CN"/>
        </w:rPr>
        <w:t>08</w:t>
      </w:r>
      <w:r>
        <w:rPr>
          <w:rFonts w:hint="eastAsia" w:ascii="仿宋" w:hAnsi="仿宋" w:eastAsia="仿宋" w:cs="宋体"/>
          <w:spacing w:val="-6"/>
          <w:kern w:val="0"/>
          <w:sz w:val="28"/>
          <w:szCs w:val="28"/>
          <w:highlight w:val="none"/>
          <w:shd w:val="clear" w:color="auto" w:fill="FFFFFF"/>
        </w:rPr>
        <w:t>年启动</w:t>
      </w:r>
      <w:r>
        <w:rPr>
          <w:rFonts w:hint="eastAsia" w:ascii="仿宋" w:hAnsi="仿宋" w:eastAsia="仿宋" w:cs="宋体"/>
          <w:spacing w:val="-6"/>
          <w:kern w:val="0"/>
          <w:sz w:val="28"/>
          <w:szCs w:val="28"/>
          <w:highlight w:val="none"/>
          <w:shd w:val="clear" w:color="auto" w:fill="FFFFFF"/>
          <w:lang w:eastAsia="zh-CN"/>
        </w:rPr>
        <w:t>至今，已开展</w:t>
      </w:r>
      <w:r>
        <w:rPr>
          <w:rFonts w:hint="eastAsia" w:ascii="仿宋" w:hAnsi="仿宋" w:eastAsia="仿宋" w:cs="宋体"/>
          <w:spacing w:val="-6"/>
          <w:kern w:val="0"/>
          <w:sz w:val="28"/>
          <w:szCs w:val="28"/>
          <w:highlight w:val="none"/>
          <w:shd w:val="clear" w:color="auto" w:fill="FFFFFF"/>
          <w:lang w:val="en-US" w:eastAsia="zh-CN"/>
        </w:rPr>
        <w:t>17</w:t>
      </w:r>
      <w:r>
        <w:rPr>
          <w:rFonts w:hint="eastAsia" w:ascii="仿宋" w:hAnsi="仿宋" w:eastAsia="仿宋" w:cs="宋体"/>
          <w:spacing w:val="-6"/>
          <w:kern w:val="0"/>
          <w:sz w:val="28"/>
          <w:szCs w:val="28"/>
          <w:highlight w:val="none"/>
          <w:shd w:val="clear" w:color="auto" w:fill="FFFFFF"/>
        </w:rPr>
        <w:t>年。</w:t>
      </w:r>
    </w:p>
    <w:p w14:paraId="1057FDC6">
      <w:pPr>
        <w:ind w:firstLine="538" w:firstLineChars="200"/>
        <w:jc w:val="left"/>
        <w:rPr>
          <w:rFonts w:ascii="仿宋" w:hAnsi="仿宋" w:eastAsia="仿宋" w:cs="宋体"/>
          <w:b/>
          <w:bCs/>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具体步骤：</w:t>
      </w:r>
    </w:p>
    <w:p w14:paraId="13762CFA">
      <w:pPr>
        <w:ind w:firstLine="538" w:firstLineChars="200"/>
        <w:jc w:val="left"/>
        <w:rPr>
          <w:rFonts w:ascii="仿宋" w:hAnsi="仿宋" w:eastAsia="仿宋" w:cs="宋体"/>
          <w:b/>
          <w:bCs/>
          <w:spacing w:val="-6"/>
          <w:kern w:val="0"/>
          <w:sz w:val="28"/>
          <w:szCs w:val="28"/>
          <w:shd w:val="clear" w:color="auto" w:fill="FFFFFF"/>
        </w:rPr>
      </w:pPr>
      <w:r>
        <w:rPr>
          <w:rFonts w:hint="eastAsia" w:ascii="仿宋" w:hAnsi="仿宋" w:eastAsia="仿宋" w:cs="宋体"/>
          <w:b/>
          <w:bCs/>
          <w:spacing w:val="-6"/>
          <w:kern w:val="0"/>
          <w:sz w:val="28"/>
          <w:szCs w:val="28"/>
          <w:shd w:val="clear" w:color="auto" w:fill="FFFFFF"/>
        </w:rPr>
        <w:t>阶段一（</w:t>
      </w:r>
      <w:r>
        <w:rPr>
          <w:rFonts w:hint="eastAsia" w:ascii="仿宋" w:hAnsi="仿宋" w:eastAsia="仿宋" w:cs="宋体"/>
          <w:b/>
          <w:bCs/>
          <w:spacing w:val="-6"/>
          <w:kern w:val="0"/>
          <w:sz w:val="28"/>
          <w:szCs w:val="28"/>
          <w:shd w:val="clear" w:color="auto" w:fill="FFFFFF"/>
          <w:lang w:val="en-US" w:eastAsia="zh-CN"/>
        </w:rPr>
        <w:t>2008年</w:t>
      </w:r>
      <w:r>
        <w:rPr>
          <w:rFonts w:hint="eastAsia" w:ascii="仿宋" w:hAnsi="仿宋" w:eastAsia="仿宋" w:cs="宋体"/>
          <w:b/>
          <w:bCs/>
          <w:spacing w:val="-6"/>
          <w:kern w:val="0"/>
          <w:sz w:val="28"/>
          <w:szCs w:val="28"/>
          <w:shd w:val="clear" w:color="auto" w:fill="FFFFFF"/>
        </w:rPr>
        <w:t>-</w:t>
      </w:r>
      <w:r>
        <w:rPr>
          <w:rFonts w:hint="eastAsia" w:ascii="仿宋" w:hAnsi="仿宋" w:eastAsia="仿宋" w:cs="宋体"/>
          <w:b/>
          <w:bCs/>
          <w:spacing w:val="-6"/>
          <w:kern w:val="0"/>
          <w:sz w:val="28"/>
          <w:szCs w:val="28"/>
          <w:shd w:val="clear" w:color="auto" w:fill="FFFFFF"/>
          <w:lang w:val="en-US" w:eastAsia="zh-CN"/>
        </w:rPr>
        <w:t>2020年</w:t>
      </w:r>
      <w:r>
        <w:rPr>
          <w:rFonts w:hint="eastAsia" w:ascii="仿宋" w:hAnsi="仿宋" w:eastAsia="仿宋" w:cs="宋体"/>
          <w:b/>
          <w:bCs/>
          <w:spacing w:val="-6"/>
          <w:kern w:val="0"/>
          <w:sz w:val="28"/>
          <w:szCs w:val="28"/>
          <w:shd w:val="clear" w:color="auto" w:fill="FFFFFF"/>
        </w:rPr>
        <w:t>)—完善基建与生态圈 支撑数字应用长效发展</w:t>
      </w:r>
    </w:p>
    <w:p w14:paraId="6E17B188">
      <w:pPr>
        <w:ind w:firstLine="536" w:firstLineChars="200"/>
        <w:jc w:val="left"/>
        <w:rPr>
          <w:rFonts w:ascii="仿宋" w:hAnsi="仿宋" w:eastAsia="仿宋" w:cs="宋体"/>
          <w:spacing w:val="-6"/>
          <w:kern w:val="0"/>
          <w:sz w:val="28"/>
          <w:szCs w:val="28"/>
          <w:shd w:val="clear" w:color="auto" w:fill="FFFFFF"/>
        </w:rPr>
      </w:pPr>
      <w:r>
        <w:rPr>
          <w:rFonts w:hint="eastAsia" w:ascii="仿宋" w:hAnsi="仿宋" w:eastAsia="仿宋" w:cs="宋体"/>
          <w:spacing w:val="-6"/>
          <w:kern w:val="0"/>
          <w:sz w:val="28"/>
          <w:szCs w:val="28"/>
          <w:shd w:val="clear" w:color="auto" w:fill="FFFFFF"/>
        </w:rPr>
        <w:t>在精益数字化全面转型之前，海天一直重视信息化的建设，十多年的持续自研与投入,建成SAP,MES,APS,WMS等系统，为了进一步提升生产制造的控制水平，打通IT和OT的边界,实现生产过程从数字化到智能化的变革，我们利用云计算，大数据,5G等先进技术和工具,打造数据“采集、通讯、存储、分析、应用”五层高效工业物联网架构。</w:t>
      </w:r>
    </w:p>
    <w:p w14:paraId="2596C826">
      <w:pPr>
        <w:ind w:firstLine="536" w:firstLineChars="200"/>
        <w:rPr>
          <w:rFonts w:hint="eastAsia" w:ascii="仿宋" w:hAnsi="仿宋" w:eastAsia="仿宋" w:cs="宋体"/>
          <w:spacing w:val="-6"/>
          <w:kern w:val="0"/>
          <w:sz w:val="28"/>
          <w:szCs w:val="28"/>
          <w:shd w:val="clear" w:color="auto" w:fill="FFFFFF"/>
        </w:rPr>
      </w:pPr>
      <w:r>
        <w:rPr>
          <w:rFonts w:hint="eastAsia" w:ascii="仿宋" w:hAnsi="仿宋" w:eastAsia="仿宋" w:cs="宋体"/>
          <w:spacing w:val="-6"/>
          <w:kern w:val="0"/>
          <w:sz w:val="28"/>
          <w:szCs w:val="28"/>
          <w:shd w:val="clear" w:color="auto" w:fill="FFFFFF"/>
        </w:rPr>
        <w:t>另外海天深耕酱油科技领域多年，通过不断学习及长期寻求外部合作的方式，打造酱油科技生态圈，同甲骨文、海康威视等企业搭建起基础网络服务、与SAP、IBM等完成技术平台搭建，在这基础之上拉动克朗斯、科大讯飞等行业头部企业赋能生产</w:t>
      </w:r>
      <w:r>
        <w:rPr>
          <w:rFonts w:hint="eastAsia" w:ascii="仿宋" w:hAnsi="仿宋" w:eastAsia="仿宋" w:cs="宋体"/>
          <w:spacing w:val="-6"/>
          <w:kern w:val="0"/>
          <w:sz w:val="28"/>
          <w:szCs w:val="28"/>
          <w:shd w:val="clear" w:color="auto" w:fill="FFFFFF"/>
          <w:lang w:eastAsia="zh-CN"/>
        </w:rPr>
        <w:t>，</w:t>
      </w:r>
      <w:r>
        <w:rPr>
          <w:rFonts w:hint="eastAsia" w:ascii="仿宋" w:hAnsi="仿宋" w:eastAsia="仿宋" w:cs="宋体"/>
          <w:spacing w:val="-6"/>
          <w:kern w:val="0"/>
          <w:sz w:val="28"/>
          <w:szCs w:val="28"/>
          <w:shd w:val="clear" w:color="auto" w:fill="FFFFFF"/>
        </w:rPr>
        <w:t>并且与清华、复旦等知名院校合作形成海天科技储备力量，通过这些方面协同整个生态圈发展共赢，源源不断创造新的活力。</w:t>
      </w:r>
    </w:p>
    <w:p w14:paraId="60D93785">
      <w:pPr>
        <w:rPr>
          <w:rFonts w:ascii="等线" w:hAnsi="等线" w:eastAsia="等线" w:cs="Times New Roman"/>
        </w:rPr>
      </w:pPr>
      <w:r>
        <w:rPr>
          <w:rFonts w:ascii="宋体" w:hAnsi="Courier New" w:eastAsia="宋体" w:cs="Courier New"/>
          <w:szCs w:val="21"/>
        </w:rPr>
        <w:drawing>
          <wp:inline distT="0" distB="0" distL="0" distR="0">
            <wp:extent cx="5910580" cy="2632075"/>
            <wp:effectExtent l="0" t="0" r="13970" b="15875"/>
            <wp:docPr id="1059" name="图片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图片 1059"/>
                    <pic:cNvPicPr>
                      <a:picLocks noChangeAspect="1"/>
                    </pic:cNvPicPr>
                  </pic:nvPicPr>
                  <pic:blipFill>
                    <a:blip r:embed="rId4"/>
                    <a:stretch>
                      <a:fillRect/>
                    </a:stretch>
                  </pic:blipFill>
                  <pic:spPr>
                    <a:xfrm>
                      <a:off x="0" y="0"/>
                      <a:ext cx="5910580" cy="2632075"/>
                    </a:xfrm>
                    <a:prstGeom prst="rect">
                      <a:avLst/>
                    </a:prstGeom>
                    <a:ln>
                      <a:noFill/>
                    </a:ln>
                  </pic:spPr>
                </pic:pic>
              </a:graphicData>
            </a:graphic>
          </wp:inline>
        </w:drawing>
      </w:r>
    </w:p>
    <w:p w14:paraId="24AC00A6">
      <w:pPr>
        <w:jc w:val="center"/>
        <w:rPr>
          <w:rFonts w:hint="eastAsia" w:ascii="黑体" w:hAnsi="黑体" w:eastAsia="黑体"/>
          <w:szCs w:val="21"/>
        </w:rPr>
      </w:pPr>
      <w:r>
        <w:rPr>
          <w:rFonts w:hint="eastAsia" w:ascii="黑体" w:hAnsi="黑体" w:eastAsia="黑体" w:cs="宋体"/>
          <w:color w:val="000000"/>
          <w:spacing w:val="2"/>
          <w:kern w:val="0"/>
          <w:szCs w:val="24"/>
        </w:rPr>
        <w:t>图</w:t>
      </w:r>
      <w:r>
        <w:rPr>
          <w:rFonts w:hint="eastAsia" w:ascii="黑体" w:hAnsi="黑体" w:eastAsia="黑体" w:cs="宋体"/>
          <w:color w:val="000000"/>
          <w:spacing w:val="2"/>
          <w:kern w:val="0"/>
          <w:szCs w:val="24"/>
          <w:lang w:val="en-US" w:eastAsia="zh-CN"/>
        </w:rPr>
        <w:t>1</w:t>
      </w:r>
      <w:r>
        <w:rPr>
          <w:rFonts w:hint="eastAsia" w:ascii="黑体" w:hAnsi="黑体" w:eastAsia="黑体" w:cs="宋体"/>
          <w:color w:val="000000"/>
          <w:spacing w:val="2"/>
          <w:kern w:val="0"/>
          <w:szCs w:val="24"/>
        </w:rPr>
        <w:t xml:space="preserve"> </w:t>
      </w:r>
      <w:r>
        <w:rPr>
          <w:rFonts w:hint="eastAsia" w:ascii="黑体" w:hAnsi="黑体" w:eastAsia="黑体"/>
          <w:szCs w:val="21"/>
        </w:rPr>
        <w:t>5G+AI智能制造系统架构</w:t>
      </w:r>
    </w:p>
    <w:p w14:paraId="2198AE5C">
      <w:pPr>
        <w:jc w:val="center"/>
        <w:rPr>
          <w:rFonts w:hint="eastAsia" w:ascii="黑体" w:hAnsi="黑体" w:eastAsia="黑体"/>
          <w:szCs w:val="21"/>
        </w:rPr>
      </w:pPr>
    </w:p>
    <w:p w14:paraId="5B786D5C">
      <w:pPr>
        <w:ind w:firstLine="538" w:firstLineChars="200"/>
        <w:jc w:val="left"/>
        <w:rPr>
          <w:rFonts w:ascii="仿宋" w:hAnsi="仿宋" w:eastAsia="仿宋" w:cs="宋体"/>
          <w:b/>
          <w:bCs/>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阶段二（</w:t>
      </w:r>
      <w:r>
        <w:rPr>
          <w:rFonts w:hint="eastAsia" w:ascii="仿宋" w:hAnsi="仿宋" w:eastAsia="仿宋" w:cs="宋体"/>
          <w:b/>
          <w:bCs/>
          <w:color w:val="000000" w:themeColor="text1"/>
          <w:spacing w:val="-6"/>
          <w:kern w:val="0"/>
          <w:sz w:val="28"/>
          <w:szCs w:val="28"/>
          <w:shd w:val="clear" w:color="auto" w:fill="FFFFFF"/>
          <w:lang w:val="en-US" w:eastAsia="zh-CN"/>
          <w14:textFill>
            <w14:solidFill>
              <w14:schemeClr w14:val="tx1"/>
            </w14:solidFill>
          </w14:textFill>
        </w:rPr>
        <w:t>2021年</w:t>
      </w: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w:t>
      </w:r>
      <w:r>
        <w:rPr>
          <w:rFonts w:hint="eastAsia" w:ascii="仿宋" w:hAnsi="仿宋" w:eastAsia="仿宋" w:cs="宋体"/>
          <w:b/>
          <w:bCs/>
          <w:color w:val="000000" w:themeColor="text1"/>
          <w:spacing w:val="-6"/>
          <w:kern w:val="0"/>
          <w:sz w:val="28"/>
          <w:szCs w:val="28"/>
          <w:shd w:val="clear" w:color="auto" w:fill="FFFFFF"/>
          <w:lang w:val="en-US" w:eastAsia="zh-CN"/>
          <w14:textFill>
            <w14:solidFill>
              <w14:schemeClr w14:val="tx1"/>
            </w14:solidFill>
          </w14:textFill>
        </w:rPr>
        <w:t>2025年</w:t>
      </w: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)—精益数字赋能，重塑生产加工过程</w:t>
      </w:r>
    </w:p>
    <w:p w14:paraId="3B10A2A4">
      <w:pPr>
        <w:ind w:firstLine="536" w:firstLineChars="200"/>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以精益理念为指引，聚焦生产制造环节，深入挖掘浪费根源，推进流程改善，优化现有业务流程；在此基础上，运用数字化技术为业务赋能，重塑生产加工全流程。通过数字化平台串联119道工序、494个检测点，实现466个数据点秒级采集，推动酿造从“经验依赖”转向“算法驱动”。黑灯仓库120秒快速出仓，AI冷冻技术使制冷电单耗降20.3%，构建高效制造链条。品控端，AI 豆脸技术检</w:t>
      </w:r>
      <w:r>
        <w:rPr>
          <w:rFonts w:hint="eastAsia" w:ascii="仿宋" w:hAnsi="仿宋" w:eastAsia="仿宋" w:cs="宋体"/>
          <w:color w:val="000000" w:themeColor="text1"/>
          <w:spacing w:val="-6"/>
          <w:kern w:val="0"/>
          <w:sz w:val="28"/>
          <w:szCs w:val="28"/>
          <w:highlight w:val="none"/>
          <w:shd w:val="clear" w:color="auto" w:fill="FFFFFF"/>
          <w14:textFill>
            <w14:solidFill>
              <w14:schemeClr w14:val="tx1"/>
            </w14:solidFill>
          </w14:textFill>
        </w:rPr>
        <w:t>测 2.5 万亿颗黄豆</w:t>
      </w:r>
      <w:r>
        <w:rPr>
          <w:rFonts w:hint="eastAsia" w:ascii="仿宋" w:hAnsi="仿宋" w:eastAsia="仿宋" w:cs="宋体"/>
          <w:color w:val="000000" w:themeColor="text1"/>
          <w:spacing w:val="-6"/>
          <w:kern w:val="0"/>
          <w:sz w:val="28"/>
          <w:szCs w:val="28"/>
          <w:highlight w:val="none"/>
          <w:shd w:val="clear" w:color="auto" w:fill="FFFFFF"/>
          <w:lang w:val="en-US" w:eastAsia="zh-CN"/>
          <w14:textFill>
            <w14:solidFill>
              <w14:schemeClr w14:val="tx1"/>
            </w14:solidFill>
          </w14:textFill>
        </w:rPr>
        <w:t>/年</w:t>
      </w:r>
      <w:r>
        <w:rPr>
          <w:rFonts w:hint="eastAsia" w:ascii="仿宋" w:hAnsi="仿宋" w:eastAsia="仿宋" w:cs="宋体"/>
          <w:color w:val="000000" w:themeColor="text1"/>
          <w:spacing w:val="-6"/>
          <w:kern w:val="0"/>
          <w:sz w:val="28"/>
          <w:szCs w:val="28"/>
          <w:highlight w:val="none"/>
          <w:shd w:val="clear" w:color="auto" w:fill="FFFFFF"/>
          <w14:textFill>
            <w14:solidFill>
              <w14:schemeClr w14:val="tx1"/>
            </w14:solidFill>
          </w14:textFill>
        </w:rPr>
        <w:t>，N</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IR 光谱分析实现秒级异常追溯，AI 电子鼻采集100余种香气成分构建谱库，结合“一物一码”全链追溯，以智能升级重塑质量管控体系。整体精益数字化转型之后浪费减少2</w:t>
      </w:r>
      <w:r>
        <w:rPr>
          <w:rFonts w:ascii="仿宋" w:hAnsi="仿宋" w:eastAsia="仿宋" w:cs="宋体"/>
          <w:color w:val="000000" w:themeColor="text1"/>
          <w:spacing w:val="-6"/>
          <w:kern w:val="0"/>
          <w:sz w:val="28"/>
          <w:szCs w:val="28"/>
          <w:shd w:val="clear" w:color="auto" w:fill="FFFFFF"/>
          <w14:textFill>
            <w14:solidFill>
              <w14:schemeClr w14:val="tx1"/>
            </w14:solidFill>
          </w14:textFill>
        </w:rPr>
        <w:t>9.9</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%，产品不合格率下降3</w:t>
      </w:r>
      <w:r>
        <w:rPr>
          <w:rFonts w:ascii="仿宋" w:hAnsi="仿宋" w:eastAsia="仿宋" w:cs="宋体"/>
          <w:color w:val="000000" w:themeColor="text1"/>
          <w:spacing w:val="-6"/>
          <w:kern w:val="0"/>
          <w:sz w:val="28"/>
          <w:szCs w:val="28"/>
          <w:shd w:val="clear" w:color="auto" w:fill="FFFFFF"/>
          <w14:textFill>
            <w14:solidFill>
              <w14:schemeClr w14:val="tx1"/>
            </w14:solidFill>
          </w14:textFill>
        </w:rPr>
        <w:t>1.3</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%，产品交期提升3</w:t>
      </w:r>
      <w:r>
        <w:rPr>
          <w:rFonts w:ascii="仿宋" w:hAnsi="仿宋" w:eastAsia="仿宋" w:cs="宋体"/>
          <w:color w:val="000000" w:themeColor="text1"/>
          <w:spacing w:val="-6"/>
          <w:kern w:val="0"/>
          <w:sz w:val="28"/>
          <w:szCs w:val="28"/>
          <w:shd w:val="clear" w:color="auto" w:fill="FFFFFF"/>
          <w14:textFill>
            <w14:solidFill>
              <w14:schemeClr w14:val="tx1"/>
            </w14:solidFill>
          </w14:textFill>
        </w:rPr>
        <w:t>8.7</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w:t>
      </w:r>
    </w:p>
    <w:p w14:paraId="3A181750">
      <w:pPr>
        <w:rPr>
          <w:rFonts w:hint="eastAsia" w:ascii="宋体" w:hAnsi="宋体" w:eastAsia="宋体" w:cs="宋体"/>
          <w:b/>
          <w:bCs/>
          <w:sz w:val="24"/>
          <w:lang w:eastAsia="zh-CN"/>
        </w:rPr>
      </w:pPr>
      <w:r>
        <w:rPr>
          <w:rFonts w:hint="eastAsia" w:ascii="宋体" w:hAnsi="宋体" w:eastAsia="宋体" w:cs="宋体"/>
          <w:b/>
          <w:bCs/>
          <w:sz w:val="24"/>
          <w:lang w:eastAsia="zh-CN"/>
        </w:rPr>
        <w:drawing>
          <wp:inline distT="0" distB="0" distL="114300" distR="114300">
            <wp:extent cx="5897880" cy="3538855"/>
            <wp:effectExtent l="0" t="0" r="0" b="12065"/>
            <wp:docPr id="4" name="图片 4" descr="天然阳光晒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然阳光晒场"/>
                    <pic:cNvPicPr>
                      <a:picLocks noChangeAspect="1"/>
                    </pic:cNvPicPr>
                  </pic:nvPicPr>
                  <pic:blipFill>
                    <a:blip r:embed="rId5"/>
                    <a:stretch>
                      <a:fillRect/>
                    </a:stretch>
                  </pic:blipFill>
                  <pic:spPr>
                    <a:xfrm>
                      <a:off x="0" y="0"/>
                      <a:ext cx="5897880" cy="3538855"/>
                    </a:xfrm>
                    <a:prstGeom prst="rect">
                      <a:avLst/>
                    </a:prstGeom>
                  </pic:spPr>
                </pic:pic>
              </a:graphicData>
            </a:graphic>
          </wp:inline>
        </w:drawing>
      </w:r>
    </w:p>
    <w:p w14:paraId="6382858C">
      <w:pPr>
        <w:jc w:val="center"/>
        <w:rPr>
          <w:rFonts w:hint="eastAsia" w:ascii="黑体" w:hAnsi="黑体" w:eastAsia="黑体" w:cs="宋体"/>
          <w:color w:val="000000"/>
          <w:spacing w:val="2"/>
          <w:kern w:val="0"/>
          <w:szCs w:val="24"/>
        </w:rPr>
      </w:pPr>
      <w:r>
        <w:rPr>
          <w:rFonts w:hint="eastAsia" w:ascii="黑体" w:hAnsi="黑体" w:eastAsia="黑体" w:cs="宋体"/>
          <w:color w:val="000000"/>
          <w:spacing w:val="2"/>
          <w:kern w:val="0"/>
          <w:szCs w:val="24"/>
          <w:highlight w:val="none"/>
        </w:rPr>
        <w:t>图</w:t>
      </w:r>
      <w:r>
        <w:rPr>
          <w:rFonts w:hint="eastAsia" w:ascii="黑体" w:hAnsi="黑体" w:eastAsia="黑体" w:cs="宋体"/>
          <w:color w:val="000000"/>
          <w:spacing w:val="2"/>
          <w:kern w:val="0"/>
          <w:szCs w:val="24"/>
          <w:highlight w:val="none"/>
          <w:lang w:val="en-US" w:eastAsia="zh-CN"/>
        </w:rPr>
        <w:t>2</w:t>
      </w:r>
      <w:r>
        <w:rPr>
          <w:rFonts w:hint="eastAsia" w:ascii="黑体" w:hAnsi="黑体" w:eastAsia="黑体" w:cs="宋体"/>
          <w:color w:val="000000"/>
          <w:spacing w:val="2"/>
          <w:kern w:val="0"/>
          <w:szCs w:val="24"/>
          <w:highlight w:val="none"/>
        </w:rPr>
        <w:t xml:space="preserve"> </w:t>
      </w:r>
      <w:r>
        <w:rPr>
          <w:rFonts w:hint="eastAsia" w:ascii="黑体" w:hAnsi="黑体" w:eastAsia="黑体"/>
          <w:szCs w:val="21"/>
          <w:highlight w:val="none"/>
          <w:lang w:val="en-US" w:eastAsia="zh-CN"/>
        </w:rPr>
        <w:t>5G</w:t>
      </w:r>
      <w:r>
        <w:rPr>
          <w:rFonts w:hint="eastAsia" w:ascii="黑体" w:hAnsi="黑体" w:eastAsia="黑体"/>
          <w:szCs w:val="21"/>
          <w:highlight w:val="none"/>
          <w:lang w:eastAsia="zh-CN"/>
        </w:rPr>
        <w:t>和</w:t>
      </w:r>
      <w:r>
        <w:rPr>
          <w:rFonts w:hint="eastAsia" w:ascii="黑体" w:hAnsi="黑体" w:eastAsia="黑体"/>
          <w:szCs w:val="21"/>
          <w:highlight w:val="none"/>
          <w:lang w:val="en-US" w:eastAsia="zh-CN"/>
        </w:rPr>
        <w:t>AI技术的</w:t>
      </w:r>
      <w:r>
        <w:rPr>
          <w:rFonts w:hint="eastAsia" w:ascii="黑体" w:hAnsi="黑体" w:eastAsia="黑体"/>
          <w:szCs w:val="21"/>
          <w:highlight w:val="none"/>
        </w:rPr>
        <w:t>应用</w:t>
      </w:r>
    </w:p>
    <w:p w14:paraId="113C466B">
      <w:pPr>
        <w:ind w:firstLine="538" w:firstLineChars="200"/>
        <w:jc w:val="left"/>
        <w:rPr>
          <w:rFonts w:ascii="仿宋" w:hAnsi="仿宋" w:eastAsia="仿宋" w:cs="宋体"/>
          <w:b/>
          <w:bCs/>
          <w:color w:val="333333"/>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阶段三（</w:t>
      </w:r>
      <w:r>
        <w:rPr>
          <w:rFonts w:hint="eastAsia" w:ascii="仿宋" w:hAnsi="仿宋" w:eastAsia="仿宋" w:cs="宋体"/>
          <w:b/>
          <w:bCs/>
          <w:spacing w:val="-6"/>
          <w:kern w:val="0"/>
          <w:sz w:val="28"/>
          <w:szCs w:val="28"/>
          <w:highlight w:val="none"/>
          <w:shd w:val="clear" w:color="auto" w:fill="FFFFFF"/>
          <w:lang w:val="en-US" w:eastAsia="zh-CN"/>
        </w:rPr>
        <w:t>2023年</w:t>
      </w:r>
      <w:r>
        <w:rPr>
          <w:rFonts w:hint="eastAsia" w:ascii="仿宋" w:hAnsi="仿宋" w:eastAsia="仿宋" w:cs="宋体"/>
          <w:b/>
          <w:bCs/>
          <w:spacing w:val="-6"/>
          <w:kern w:val="0"/>
          <w:sz w:val="28"/>
          <w:szCs w:val="28"/>
          <w:highlight w:val="none"/>
          <w:shd w:val="clear" w:color="auto" w:fill="FFFFFF"/>
        </w:rPr>
        <w:t>-</w:t>
      </w:r>
      <w:r>
        <w:rPr>
          <w:rFonts w:hint="eastAsia" w:ascii="仿宋" w:hAnsi="仿宋" w:eastAsia="仿宋" w:cs="宋体"/>
          <w:b/>
          <w:bCs/>
          <w:spacing w:val="-6"/>
          <w:kern w:val="0"/>
          <w:sz w:val="28"/>
          <w:szCs w:val="28"/>
          <w:highlight w:val="none"/>
          <w:shd w:val="clear" w:color="auto" w:fill="FFFFFF"/>
          <w:lang w:val="en-US" w:eastAsia="zh-CN"/>
        </w:rPr>
        <w:t>2025年</w:t>
      </w:r>
      <w:r>
        <w:rPr>
          <w:rFonts w:hint="eastAsia" w:ascii="仿宋" w:hAnsi="仿宋" w:eastAsia="仿宋" w:cs="宋体"/>
          <w:b/>
          <w:bCs/>
          <w:spacing w:val="-6"/>
          <w:kern w:val="0"/>
          <w:sz w:val="28"/>
          <w:szCs w:val="28"/>
          <w:highlight w:val="none"/>
          <w:shd w:val="clear" w:color="auto" w:fill="FFFFFF"/>
        </w:rPr>
        <w:t>)—</w:t>
      </w:r>
      <w:r>
        <w:rPr>
          <w:rFonts w:hint="eastAsia" w:ascii="仿宋" w:hAnsi="仿宋" w:eastAsia="仿宋" w:cs="宋体"/>
          <w:b/>
          <w:bCs/>
          <w:color w:val="333333"/>
          <w:spacing w:val="-6"/>
          <w:kern w:val="0"/>
          <w:sz w:val="28"/>
          <w:szCs w:val="28"/>
          <w:highlight w:val="none"/>
          <w:shd w:val="clear" w:color="auto" w:fill="FFFFFF"/>
        </w:rPr>
        <w:t>全链协同生态化，加快生产制柔性化</w:t>
      </w:r>
    </w:p>
    <w:p w14:paraId="79A49F2B">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依托工业互联网平台，建设云仓物流体系，通过无线射频识别及条码识别技术对立体仓库的出入库业务及库存调拨进行全过程自动化管理，供应时效提高20%以上。通过与上游塑料瓶供应商在通用的RTS系统下单下料，减少物料运送超5万车次/年，减少包装用量800吨/年，降低了双方的生产成本。建设产销协同云平台，构建与ERP系统紧密衔接的生产线管理系统，建立“大数据分析运营平台”，打通研发、生产、物流、销售和售后等各业务环节数据，利用管理系统后台收集生产运营数据，联通产业链上下游，同时打造海天APS系统，加快生产制造设备柔性化、智能化的普及，从而实现更敏捷的交付。</w:t>
      </w:r>
    </w:p>
    <w:p w14:paraId="355D5C04">
      <w:r>
        <w:drawing>
          <wp:inline distT="0" distB="0" distL="0" distR="0">
            <wp:extent cx="5878195" cy="2167890"/>
            <wp:effectExtent l="0" t="0" r="8255" b="3810"/>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1030"/>
                    <pic:cNvPicPr>
                      <a:picLocks noChangeAspect="1"/>
                    </pic:cNvPicPr>
                  </pic:nvPicPr>
                  <pic:blipFill>
                    <a:blip r:embed="rId6"/>
                    <a:stretch>
                      <a:fillRect/>
                    </a:stretch>
                  </pic:blipFill>
                  <pic:spPr>
                    <a:xfrm>
                      <a:off x="0" y="0"/>
                      <a:ext cx="5878195" cy="2167890"/>
                    </a:xfrm>
                    <a:prstGeom prst="rect">
                      <a:avLst/>
                    </a:prstGeom>
                    <a:ln>
                      <a:noFill/>
                    </a:ln>
                  </pic:spPr>
                </pic:pic>
              </a:graphicData>
            </a:graphic>
          </wp:inline>
        </w:drawing>
      </w:r>
    </w:p>
    <w:p w14:paraId="451642F8">
      <w:pPr>
        <w:widowControl w:val="0"/>
        <w:spacing w:after="120"/>
        <w:ind w:firstLine="420" w:firstLineChars="200"/>
        <w:jc w:val="center"/>
        <w:rPr>
          <w:rFonts w:hint="eastAsia"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 xml:space="preserve"> “四单接通”供应链全流程智能动态协同</w:t>
      </w:r>
    </w:p>
    <w:p w14:paraId="72FAF7BF">
      <w:pPr>
        <w:widowControl w:val="0"/>
        <w:spacing w:after="120"/>
        <w:ind w:firstLine="420" w:firstLineChars="200"/>
        <w:jc w:val="center"/>
        <w:rPr>
          <w:rFonts w:hint="eastAsia" w:ascii="黑体" w:hAnsi="黑体" w:eastAsia="黑体"/>
          <w:szCs w:val="21"/>
        </w:rPr>
      </w:pPr>
    </w:p>
    <w:p w14:paraId="47401840">
      <w:pPr>
        <w:ind w:firstLine="538" w:firstLineChars="200"/>
        <w:jc w:val="left"/>
        <w:rPr>
          <w:rFonts w:ascii="仿宋" w:hAnsi="仿宋" w:eastAsia="仿宋" w:cs="宋体"/>
          <w:b/>
          <w:bCs/>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lang w:eastAsia="zh-CN"/>
        </w:rPr>
        <w:t>复制推广</w:t>
      </w:r>
      <w:r>
        <w:rPr>
          <w:rFonts w:hint="eastAsia" w:ascii="仿宋" w:hAnsi="仿宋" w:eastAsia="仿宋" w:cs="宋体"/>
          <w:b/>
          <w:bCs/>
          <w:spacing w:val="-6"/>
          <w:kern w:val="0"/>
          <w:sz w:val="28"/>
          <w:szCs w:val="28"/>
          <w:highlight w:val="none"/>
          <w:shd w:val="clear" w:color="auto" w:fill="FFFFFF"/>
        </w:rPr>
        <w:t>—从1到N，跨园区的协同共进</w:t>
      </w:r>
    </w:p>
    <w:p w14:paraId="5734734F">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为确保供应链集群内各环节步调高度一致，实现资源配置最优化与效益最大化，我们以高明园区的成熟实践为蓝本，全面复制机制和实践。​</w:t>
      </w:r>
    </w:p>
    <w:p w14:paraId="2FC73520">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在运行机制和组织上，我们针对性地建立TO协同精益数字化管理机制，通过打通信息壁垒和园区障碍，实现精益数字化工具的共享以及过程管理的一致化。确保供应链内各主体在目标导向下高效协同。​</w:t>
      </w:r>
    </w:p>
    <w:p w14:paraId="4141A751">
      <w:pPr>
        <w:ind w:firstLine="536" w:firstLineChars="200"/>
        <w:rPr>
          <w:rFonts w:hint="eastAsia" w:ascii="仿宋" w:hAnsi="仿宋" w:eastAsia="仿宋" w:cs="宋体"/>
          <w:spacing w:val="-6"/>
          <w:kern w:val="0"/>
          <w:sz w:val="28"/>
          <w:szCs w:val="28"/>
          <w:highlight w:val="none"/>
          <w:shd w:val="clear" w:color="auto" w:fill="FFFFFF"/>
          <w:lang w:eastAsia="zh-CN"/>
        </w:rPr>
      </w:pPr>
      <w:r>
        <w:rPr>
          <w:rFonts w:hint="eastAsia" w:ascii="仿宋" w:hAnsi="仿宋" w:eastAsia="仿宋" w:cs="宋体"/>
          <w:spacing w:val="-6"/>
          <w:kern w:val="0"/>
          <w:sz w:val="28"/>
          <w:szCs w:val="28"/>
          <w:highlight w:val="none"/>
          <w:shd w:val="clear" w:color="auto" w:fill="FFFFFF"/>
        </w:rPr>
        <w:t>同时，我们构建了常态化的精益数字化最佳实践案例共享体系。定期筛选、整理在生产效率提升、成本控制、质量优化等方面具有示范意义的实践案例，通过专题研讨、线上知识库、现场观摩等多元形式进行全维度分享。借助标准化的落地指南与定制化的适配建议，帮助异地园区快速理解案例精髓，并结合自身业务特点进行灵活复用，从而加速优质经验的跨区域渗透，推动各园区在数字化转型道路上齐头并进，最终实现供应链集群整体竞争力的跃升</w:t>
      </w:r>
      <w:r>
        <w:rPr>
          <w:rFonts w:hint="eastAsia" w:ascii="仿宋" w:hAnsi="仿宋" w:eastAsia="仿宋" w:cs="宋体"/>
          <w:spacing w:val="-6"/>
          <w:kern w:val="0"/>
          <w:sz w:val="28"/>
          <w:szCs w:val="28"/>
          <w:highlight w:val="none"/>
          <w:shd w:val="clear" w:color="auto" w:fill="FFFFFF"/>
          <w:lang w:eastAsia="zh-CN"/>
        </w:rPr>
        <w:t>。</w:t>
      </w:r>
    </w:p>
    <w:p w14:paraId="30810977">
      <w:pPr>
        <w:rPr>
          <w:rFonts w:hint="eastAsia" w:ascii="仿宋" w:hAnsi="仿宋" w:eastAsia="仿宋" w:cs="仿宋"/>
          <w:b/>
          <w:bCs/>
          <w:sz w:val="28"/>
          <w:szCs w:val="28"/>
          <w:highlight w:val="none"/>
        </w:rPr>
      </w:pPr>
      <w:r>
        <w:rPr>
          <w:rFonts w:hint="eastAsia" w:ascii="仿宋" w:hAnsi="仿宋" w:eastAsia="仿宋" w:cs="仿宋"/>
          <w:b/>
          <w:bCs/>
          <w:sz w:val="28"/>
          <w:szCs w:val="28"/>
          <w:highlight w:val="none"/>
          <w:lang w:val="en-US" w:eastAsia="zh-CN"/>
        </w:rPr>
        <w:t>2.</w:t>
      </w:r>
      <w:r>
        <w:rPr>
          <w:rFonts w:hint="eastAsia" w:ascii="仿宋" w:hAnsi="仿宋" w:eastAsia="仿宋" w:cs="仿宋"/>
          <w:b/>
          <w:bCs/>
          <w:sz w:val="28"/>
          <w:szCs w:val="28"/>
          <w:highlight w:val="none"/>
        </w:rPr>
        <w:t>核心困难与解决方案</w:t>
      </w:r>
    </w:p>
    <w:p w14:paraId="62B3A3AB">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困难点：酱油酿造的生产加工流程漫长且复杂，从黄豆筛选、发酵到包装等环节，总计涵盖</w:t>
      </w:r>
      <w:r>
        <w:rPr>
          <w:rFonts w:ascii="仿宋" w:hAnsi="仿宋" w:eastAsia="仿宋" w:cs="宋体"/>
          <w:color w:val="auto"/>
          <w:spacing w:val="-6"/>
          <w:kern w:val="0"/>
          <w:sz w:val="28"/>
          <w:szCs w:val="28"/>
          <w:highlight w:val="none"/>
          <w:shd w:val="clear" w:color="auto" w:fill="FFFFFF"/>
        </w:rPr>
        <w:t xml:space="preserve"> 119 </w:t>
      </w:r>
      <w:r>
        <w:rPr>
          <w:rFonts w:hint="eastAsia" w:ascii="仿宋" w:hAnsi="仿宋" w:eastAsia="仿宋" w:cs="宋体"/>
          <w:color w:val="auto"/>
          <w:spacing w:val="-6"/>
          <w:kern w:val="0"/>
          <w:sz w:val="28"/>
          <w:szCs w:val="28"/>
          <w:highlight w:val="none"/>
          <w:shd w:val="clear" w:color="auto" w:fill="FFFFFF"/>
        </w:rPr>
        <w:t>道工序。这一过程中，涉及的原料多为不规则、非标准化的农产品，仅每年消耗的黄豆数量就高达</w:t>
      </w:r>
      <w:r>
        <w:rPr>
          <w:rFonts w:ascii="仿宋" w:hAnsi="仿宋" w:eastAsia="仿宋" w:cs="宋体"/>
          <w:color w:val="auto"/>
          <w:spacing w:val="-6"/>
          <w:kern w:val="0"/>
          <w:sz w:val="28"/>
          <w:szCs w:val="28"/>
          <w:highlight w:val="none"/>
          <w:shd w:val="clear" w:color="auto" w:fill="FFFFFF"/>
        </w:rPr>
        <w:t>2.5</w:t>
      </w:r>
      <w:r>
        <w:rPr>
          <w:rFonts w:hint="eastAsia" w:ascii="仿宋" w:hAnsi="仿宋" w:eastAsia="仿宋" w:cs="宋体"/>
          <w:color w:val="auto"/>
          <w:spacing w:val="-6"/>
          <w:kern w:val="0"/>
          <w:sz w:val="28"/>
          <w:szCs w:val="28"/>
          <w:highlight w:val="none"/>
          <w:shd w:val="clear" w:color="auto" w:fill="FFFFFF"/>
        </w:rPr>
        <w:t>万亿颗，其规模与特性对数字化管理提出了基础层面的挑战。</w:t>
      </w:r>
    </w:p>
    <w:p w14:paraId="41AEF9C5">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更为关键的是，生产全程产生的工艺参数与设备参数数据量极为庞大，且诸多核心环节高度依赖工匠积累的经验性判断 —— 这种经验往往难以转化为标准化的数字指标。这些因素相互交织，共同构成了酱油生产领域数字化转型道路上的重重阻碍，成为亟待突破的关键难点。</w:t>
      </w:r>
    </w:p>
    <w:p w14:paraId="2D8A24C9">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解决办法：</w:t>
      </w:r>
    </w:p>
    <w:p w14:paraId="70DF2C8F">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针对上述酱油生产数字化转型中的突出难点，我们可从技术赋能与流程重构双维度破局。</w:t>
      </w:r>
      <w:r>
        <w:rPr>
          <w:rFonts w:hint="eastAsia" w:ascii="MS Gothic" w:hAnsi="MS Gothic" w:eastAsia="MS Gothic" w:cs="MS Gothic"/>
          <w:color w:val="000000" w:themeColor="text1"/>
          <w:spacing w:val="-6"/>
          <w:kern w:val="0"/>
          <w:sz w:val="28"/>
          <w:szCs w:val="28"/>
          <w:shd w:val="clear" w:color="auto" w:fill="FFFFFF"/>
          <w14:textFill>
            <w14:solidFill>
              <w14:schemeClr w14:val="tx1"/>
            </w14:solidFill>
          </w14:textFill>
        </w:rPr>
        <w:t>​</w:t>
      </w:r>
    </w:p>
    <w:p w14:paraId="36222360">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首先，以智能化设备升级为核心抓手，推动</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数字化</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业务”</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深度融合，实现全工序装备的迭代革新。例如，在黄豆筛选环节引入</w:t>
      </w:r>
      <w:r>
        <w:rPr>
          <w:rFonts w:ascii="仿宋" w:hAnsi="仿宋" w:eastAsia="仿宋" w:cs="宋体"/>
          <w:color w:val="000000" w:themeColor="text1"/>
          <w:spacing w:val="-6"/>
          <w:kern w:val="0"/>
          <w:sz w:val="28"/>
          <w:szCs w:val="28"/>
          <w:shd w:val="clear" w:color="auto" w:fill="FFFFFF"/>
          <w14:textFill>
            <w14:solidFill>
              <w14:schemeClr w14:val="tx1"/>
            </w14:solidFill>
          </w14:textFill>
        </w:rPr>
        <w:t>AI</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视觉识别系统，通过高精度图像算法精准区分原料品质，替代传统人工分拣；在蒸煮环节部署智能温控设备，结合实时传感数据动态调节蒸汽参数，确保每批次原料受热均匀</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以此类智能化改造为突破口，逐步消除非标准化生产对数字化进程的制约。</w:t>
      </w:r>
      <w:r>
        <w:rPr>
          <w:rFonts w:hint="eastAsia" w:ascii="MS Gothic" w:hAnsi="MS Gothic" w:eastAsia="MS Gothic" w:cs="MS Gothic"/>
          <w:color w:val="000000" w:themeColor="text1"/>
          <w:spacing w:val="-6"/>
          <w:kern w:val="0"/>
          <w:sz w:val="28"/>
          <w:szCs w:val="28"/>
          <w:shd w:val="clear" w:color="auto" w:fill="FFFFFF"/>
          <w14:textFill>
            <w14:solidFill>
              <w14:schemeClr w14:val="tx1"/>
            </w14:solidFill>
          </w14:textFill>
        </w:rPr>
        <w:t>​</w:t>
      </w:r>
    </w:p>
    <w:p w14:paraId="52F16020">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其次，构建全链路数据采集与分析体系。一方面，对现有生产设备进行数字化改造，通过加装传感器、部署物联网模块实现全域联网，实时采集119道工序中的工艺参数与设备运行数据，形成覆盖生产全流程的动态监控网络；另一方面，依托大数据与AI建模技术，系统梳理老师傅的经验性判断逻辑，将“凭手感”“靠眼观”的隐性知识转化为可量化的数字模型与算法规则，既实现工匠经验的可视化沉淀，更通过智能算法的持续迭代推动生产工艺的智能化升级，让传统酿造技艺在数字化时代焕发新活力。</w:t>
      </w:r>
    </w:p>
    <w:p w14:paraId="64A863BB">
      <w:pPr>
        <w:rPr>
          <w:rFonts w:hint="eastAsia" w:ascii="仿宋" w:hAnsi="仿宋" w:eastAsia="仿宋" w:cs="仿宋"/>
          <w:b/>
          <w:bCs/>
          <w:sz w:val="28"/>
          <w:szCs w:val="28"/>
          <w:highlight w:val="none"/>
          <w:lang w:val="en-US" w:eastAsia="zh-CN"/>
        </w:rPr>
      </w:pPr>
      <w:r>
        <w:rPr>
          <w:rFonts w:hint="eastAsia" w:ascii="仿宋" w:hAnsi="仿宋" w:eastAsia="仿宋" w:cs="仿宋"/>
          <w:b/>
          <w:bCs/>
          <w:sz w:val="28"/>
          <w:szCs w:val="28"/>
          <w:highlight w:val="none"/>
          <w:lang w:val="en-US" w:eastAsia="zh-CN"/>
        </w:rPr>
        <w:t>3.方法论和创新点</w:t>
      </w:r>
    </w:p>
    <w:p w14:paraId="2E06BCFB">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基于目前的机遇和挑战，海天建立了“10100精益制造体系”(“10100”中：“1”是一把手领导，“</w:t>
      </w:r>
      <w:r>
        <w:rPr>
          <w:rFonts w:ascii="仿宋" w:hAnsi="仿宋" w:eastAsia="仿宋" w:cs="宋体"/>
          <w:color w:val="333333"/>
          <w:spacing w:val="-6"/>
          <w:kern w:val="0"/>
          <w:sz w:val="28"/>
          <w:szCs w:val="28"/>
          <w:shd w:val="clear" w:color="auto" w:fill="FFFFFF"/>
        </w:rPr>
        <w:t>0</w:t>
      </w:r>
      <w:r>
        <w:rPr>
          <w:rFonts w:hint="eastAsia" w:ascii="仿宋" w:hAnsi="仿宋" w:eastAsia="仿宋" w:cs="宋体"/>
          <w:color w:val="333333"/>
          <w:spacing w:val="-6"/>
          <w:kern w:val="0"/>
          <w:sz w:val="28"/>
          <w:szCs w:val="28"/>
          <w:shd w:val="clear" w:color="auto" w:fill="FFFFFF"/>
        </w:rPr>
        <w:t>”是0缺陷管理，“100”是全员参与)数字化智能酿造转型方法论</w:t>
      </w:r>
      <w:r>
        <w:rPr>
          <w:rFonts w:hint="eastAsia" w:ascii="仿宋" w:hAnsi="仿宋" w:eastAsia="仿宋" w:cs="宋体"/>
          <w:color w:val="333333"/>
          <w:spacing w:val="-6"/>
          <w:kern w:val="0"/>
          <w:sz w:val="28"/>
          <w:szCs w:val="28"/>
          <w:shd w:val="clear" w:color="auto" w:fill="FFFFFF"/>
          <w:lang w:eastAsia="zh-CN"/>
        </w:rPr>
        <w:t>，主要在业务、组织与人才、技术三个层面开展</w:t>
      </w:r>
      <w:r>
        <w:rPr>
          <w:rFonts w:hint="eastAsia" w:ascii="仿宋" w:hAnsi="仿宋" w:eastAsia="仿宋" w:cs="宋体"/>
          <w:color w:val="333333"/>
          <w:spacing w:val="-6"/>
          <w:kern w:val="0"/>
          <w:sz w:val="28"/>
          <w:szCs w:val="28"/>
          <w:shd w:val="clear" w:color="auto" w:fill="FFFFFF"/>
        </w:rPr>
        <w:t>。</w:t>
      </w:r>
    </w:p>
    <w:p w14:paraId="2D7F3B77">
      <w:pPr>
        <w:numPr>
          <w:ilvl w:val="0"/>
          <w:numId w:val="2"/>
        </w:numPr>
        <w:rPr>
          <w:rFonts w:ascii="仿宋" w:hAnsi="仿宋" w:eastAsia="仿宋" w:cs="宋体"/>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组织创新：</w:t>
      </w:r>
      <w:r>
        <w:rPr>
          <w:rFonts w:hint="eastAsia" w:ascii="仿宋" w:hAnsi="仿宋" w:eastAsia="仿宋" w:cs="宋体"/>
          <w:color w:val="333333"/>
          <w:spacing w:val="-6"/>
          <w:kern w:val="0"/>
          <w:sz w:val="28"/>
          <w:szCs w:val="28"/>
          <w:shd w:val="clear" w:color="auto" w:fill="FFFFFF"/>
        </w:rPr>
        <w:t>成立园区转型办公室，将生产制造、精益、设备、工艺、IT等部门的优势力量进行整合，利用体系的力量推动全流程的自我优化，完成闭环管理，使之成为长久有效的数字精益转型组织。打造 “培训 - 实践 - 认证” 人才闭环，培育 660 余名智能制造复合型工匠，16名人员获得市、区级别数字化荣誉奖项。</w:t>
      </w:r>
    </w:p>
    <w:p w14:paraId="7A947381">
      <w:pPr>
        <w:ind w:firstLine="420" w:firstLineChars="200"/>
      </w:pPr>
      <w:r>
        <w:drawing>
          <wp:inline distT="0" distB="0" distL="0" distR="0">
            <wp:extent cx="5431790" cy="3139440"/>
            <wp:effectExtent l="0" t="0" r="16510" b="3810"/>
            <wp:docPr id="32783" name="图片 3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 name="图片 32783"/>
                    <pic:cNvPicPr>
                      <a:picLocks noChangeAspect="1"/>
                    </pic:cNvPicPr>
                  </pic:nvPicPr>
                  <pic:blipFill>
                    <a:blip r:embed="rId7"/>
                    <a:stretch>
                      <a:fillRect/>
                    </a:stretch>
                  </pic:blipFill>
                  <pic:spPr>
                    <a:xfrm>
                      <a:off x="0" y="0"/>
                      <a:ext cx="5444074" cy="3147000"/>
                    </a:xfrm>
                    <a:prstGeom prst="rect">
                      <a:avLst/>
                    </a:prstGeom>
                  </pic:spPr>
                </pic:pic>
              </a:graphicData>
            </a:graphic>
          </wp:inline>
        </w:drawing>
      </w:r>
    </w:p>
    <w:p w14:paraId="75BA0CE3">
      <w:pPr>
        <w:widowControl w:val="0"/>
        <w:spacing w:after="120"/>
        <w:ind w:firstLine="420" w:firstLineChars="200"/>
        <w:jc w:val="center"/>
        <w:rPr>
          <w:rFonts w:hint="eastAsia" w:eastAsia="黑体"/>
          <w:highlight w:val="none"/>
          <w:lang w:eastAsia="zh-CN"/>
        </w:rPr>
      </w:pPr>
      <w:r>
        <w:rPr>
          <w:rFonts w:hint="eastAsia" w:ascii="黑体" w:hAnsi="黑体" w:eastAsia="黑体"/>
          <w:szCs w:val="21"/>
          <w:highlight w:val="none"/>
        </w:rPr>
        <w:t>图</w:t>
      </w:r>
      <w:r>
        <w:rPr>
          <w:rFonts w:hint="eastAsia" w:ascii="黑体" w:hAnsi="黑体" w:eastAsia="黑体"/>
          <w:szCs w:val="21"/>
          <w:highlight w:val="none"/>
          <w:lang w:val="en-US" w:eastAsia="zh-CN"/>
        </w:rPr>
        <w:t>4</w:t>
      </w:r>
      <w:r>
        <w:rPr>
          <w:rFonts w:hint="eastAsia" w:ascii="黑体" w:hAnsi="黑体" w:eastAsia="黑体"/>
          <w:szCs w:val="21"/>
          <w:highlight w:val="none"/>
        </w:rPr>
        <w:t xml:space="preserve"> </w:t>
      </w:r>
      <w:r>
        <w:rPr>
          <w:rFonts w:hint="eastAsia" w:ascii="黑体" w:hAnsi="黑体" w:eastAsia="黑体"/>
          <w:szCs w:val="21"/>
          <w:highlight w:val="none"/>
          <w:lang w:eastAsia="zh-CN"/>
        </w:rPr>
        <w:t>海天</w:t>
      </w:r>
      <w:r>
        <w:rPr>
          <w:rFonts w:hint="eastAsia" w:ascii="黑体" w:hAnsi="黑体" w:eastAsia="黑体"/>
          <w:szCs w:val="21"/>
          <w:highlight w:val="none"/>
        </w:rPr>
        <w:t>工匠培育</w:t>
      </w:r>
      <w:r>
        <w:rPr>
          <w:rFonts w:hint="eastAsia" w:ascii="黑体" w:hAnsi="黑体" w:eastAsia="黑体"/>
          <w:szCs w:val="21"/>
          <w:highlight w:val="none"/>
          <w:lang w:eastAsia="zh-CN"/>
        </w:rPr>
        <w:t>活动</w:t>
      </w:r>
    </w:p>
    <w:p w14:paraId="5943B808">
      <w:pPr>
        <w:numPr>
          <w:ilvl w:val="0"/>
          <w:numId w:val="3"/>
        </w:numPr>
        <w:rPr>
          <w:rFonts w:ascii="仿宋" w:hAnsi="仿宋" w:eastAsia="仿宋" w:cs="宋体"/>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品控技术创新：“AI豆脸技术”</w:t>
      </w:r>
      <w:r>
        <w:rPr>
          <w:rFonts w:hint="eastAsia" w:ascii="仿宋" w:hAnsi="仿宋" w:eastAsia="仿宋" w:cs="宋体"/>
          <w:color w:val="333333"/>
          <w:spacing w:val="-6"/>
          <w:kern w:val="0"/>
          <w:sz w:val="28"/>
          <w:szCs w:val="28"/>
          <w:shd w:val="clear" w:color="auto" w:fill="FFFFFF"/>
        </w:rPr>
        <w:t>实现原料颗粒级检测，通过360度高清成像与深度学习算法，对每颗黄豆多项指标（如色泽、饱满度、杂质等）进行分析，快速识别出黄豆的外观缺陷、颜色不均匀等问题，年检测量达2.5万亿颗，实现从“经验选豆”到“数据筛豆”的变革，从源头保障酱油风味的稳定性。建立基于机器学习算法的</w:t>
      </w:r>
      <w:r>
        <w:rPr>
          <w:rFonts w:hint="eastAsia" w:ascii="仿宋" w:hAnsi="仿宋" w:eastAsia="仿宋" w:cs="宋体"/>
          <w:b/>
          <w:bCs/>
          <w:color w:val="333333"/>
          <w:spacing w:val="-6"/>
          <w:kern w:val="0"/>
          <w:sz w:val="28"/>
          <w:szCs w:val="28"/>
          <w:shd w:val="clear" w:color="auto" w:fill="FFFFFF"/>
        </w:rPr>
        <w:t>在线NIR光谱分析</w:t>
      </w:r>
      <w:r>
        <w:rPr>
          <w:rFonts w:hint="eastAsia" w:ascii="仿宋" w:hAnsi="仿宋" w:eastAsia="仿宋" w:cs="宋体"/>
          <w:color w:val="333333"/>
          <w:spacing w:val="-6"/>
          <w:kern w:val="0"/>
          <w:sz w:val="28"/>
          <w:szCs w:val="28"/>
          <w:shd w:val="clear" w:color="auto" w:fill="FFFFFF"/>
        </w:rPr>
        <w:t>，全量智能监测灌装过程的8项质量指标，利用可视化平台在线分析研判，并且智能预警相关异常，使得产品异常追溯判断用时从1小时提升至秒级；首创</w:t>
      </w:r>
      <w:r>
        <w:rPr>
          <w:rFonts w:hint="eastAsia" w:ascii="仿宋" w:hAnsi="仿宋" w:eastAsia="仿宋" w:cs="宋体"/>
          <w:b/>
          <w:bCs/>
          <w:color w:val="333333"/>
          <w:spacing w:val="-6"/>
          <w:kern w:val="0"/>
          <w:sz w:val="28"/>
          <w:szCs w:val="28"/>
          <w:shd w:val="clear" w:color="auto" w:fill="FFFFFF"/>
        </w:rPr>
        <w:t>“AI电子鼻”</w:t>
      </w:r>
      <w:r>
        <w:rPr>
          <w:rFonts w:hint="eastAsia" w:ascii="仿宋" w:hAnsi="仿宋" w:eastAsia="仿宋" w:cs="宋体"/>
          <w:color w:val="333333"/>
          <w:spacing w:val="-6"/>
          <w:kern w:val="0"/>
          <w:sz w:val="28"/>
          <w:szCs w:val="28"/>
          <w:shd w:val="clear" w:color="auto" w:fill="FFFFFF"/>
        </w:rPr>
        <w:t>赋能风味标准化，通过气体传感器阵列采集100余种香气成分，构建酱油香气组学谱库，利用算法对酱油香气质量进行智能评级，实现香气的快速定性分析，为相关质量决策提供支撑。实行</w:t>
      </w:r>
      <w:r>
        <w:rPr>
          <w:rFonts w:hint="eastAsia" w:ascii="仿宋" w:hAnsi="仿宋" w:eastAsia="仿宋" w:cs="宋体"/>
          <w:b/>
          <w:bCs/>
          <w:color w:val="333333"/>
          <w:spacing w:val="-6"/>
          <w:kern w:val="0"/>
          <w:sz w:val="28"/>
          <w:szCs w:val="28"/>
          <w:shd w:val="clear" w:color="auto" w:fill="FFFFFF"/>
        </w:rPr>
        <w:t>全流程产品质量透明化追溯</w:t>
      </w:r>
      <w:r>
        <w:rPr>
          <w:rFonts w:hint="eastAsia" w:ascii="仿宋" w:hAnsi="仿宋" w:eastAsia="仿宋" w:cs="宋体"/>
          <w:color w:val="333333"/>
          <w:spacing w:val="-6"/>
          <w:kern w:val="0"/>
          <w:sz w:val="28"/>
          <w:szCs w:val="28"/>
          <w:shd w:val="clear" w:color="auto" w:fill="FFFFFF"/>
        </w:rPr>
        <w:t>，依托AI智能检测与信息加密技术，对产品全生命周期信息进行精准记录与追踪，并通过“一物一码”系统赋予产品唯一身份标识，实现产品端到端质量追溯，提升消费者对食品安全信任度。</w:t>
      </w:r>
    </w:p>
    <w:p w14:paraId="3C8B083D">
      <w:r>
        <w:drawing>
          <wp:inline distT="0" distB="0" distL="114300" distR="114300">
            <wp:extent cx="2915920" cy="2447925"/>
            <wp:effectExtent l="0" t="0" r="17780" b="9525"/>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2915920" cy="2447925"/>
                    </a:xfrm>
                    <a:prstGeom prst="rect">
                      <a:avLst/>
                    </a:prstGeom>
                    <a:noFill/>
                    <a:ln>
                      <a:noFill/>
                    </a:ln>
                  </pic:spPr>
                </pic:pic>
              </a:graphicData>
            </a:graphic>
          </wp:inline>
        </w:drawing>
      </w:r>
      <w:r>
        <w:drawing>
          <wp:inline distT="0" distB="0" distL="114300" distR="114300">
            <wp:extent cx="2915920" cy="2447925"/>
            <wp:effectExtent l="0" t="0" r="1778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stretch>
                      <a:fillRect/>
                    </a:stretch>
                  </pic:blipFill>
                  <pic:spPr>
                    <a:xfrm>
                      <a:off x="0" y="0"/>
                      <a:ext cx="2915920" cy="2447925"/>
                    </a:xfrm>
                    <a:prstGeom prst="rect">
                      <a:avLst/>
                    </a:prstGeom>
                    <a:noFill/>
                    <a:ln>
                      <a:noFill/>
                    </a:ln>
                  </pic:spPr>
                </pic:pic>
              </a:graphicData>
            </a:graphic>
          </wp:inline>
        </w:drawing>
      </w:r>
    </w:p>
    <w:p w14:paraId="13AB8445">
      <w:pPr>
        <w:widowControl w:val="0"/>
        <w:spacing w:after="120"/>
        <w:ind w:firstLine="1470" w:firstLineChars="700"/>
        <w:jc w:val="left"/>
        <w:rPr>
          <w:highlight w:val="none"/>
        </w:rPr>
      </w:pPr>
      <w:r>
        <w:rPr>
          <w:rFonts w:hint="eastAsia" w:ascii="黑体" w:hAnsi="黑体" w:eastAsia="黑体"/>
          <w:szCs w:val="21"/>
          <w:highlight w:val="none"/>
        </w:rPr>
        <w:t>图</w:t>
      </w:r>
      <w:r>
        <w:rPr>
          <w:rFonts w:hint="eastAsia" w:ascii="黑体" w:hAnsi="黑体" w:eastAsia="黑体"/>
          <w:szCs w:val="21"/>
          <w:highlight w:val="none"/>
          <w:lang w:val="en-US" w:eastAsia="zh-CN"/>
        </w:rPr>
        <w:t>5</w:t>
      </w:r>
      <w:r>
        <w:rPr>
          <w:rFonts w:hint="eastAsia" w:ascii="黑体" w:hAnsi="黑体" w:eastAsia="黑体"/>
          <w:szCs w:val="21"/>
          <w:highlight w:val="none"/>
        </w:rPr>
        <w:t xml:space="preserve"> AI豆脸技术</w:t>
      </w:r>
      <w:r>
        <w:rPr>
          <w:rFonts w:hint="eastAsia" w:ascii="黑体" w:hAnsi="黑体" w:eastAsia="黑体"/>
          <w:szCs w:val="21"/>
          <w:highlight w:val="none"/>
          <w:lang w:val="en-US" w:eastAsia="zh-CN"/>
        </w:rPr>
        <w:t xml:space="preserve">                            </w:t>
      </w:r>
      <w:r>
        <w:rPr>
          <w:rFonts w:hint="eastAsia" w:ascii="黑体" w:hAnsi="黑体" w:eastAsia="黑体"/>
          <w:szCs w:val="21"/>
          <w:highlight w:val="none"/>
        </w:rPr>
        <w:t>图</w:t>
      </w:r>
      <w:r>
        <w:rPr>
          <w:rFonts w:hint="eastAsia" w:ascii="黑体" w:hAnsi="黑体" w:eastAsia="黑体"/>
          <w:szCs w:val="21"/>
          <w:highlight w:val="none"/>
          <w:lang w:val="en-US" w:eastAsia="zh-CN"/>
        </w:rPr>
        <w:t>6</w:t>
      </w:r>
      <w:r>
        <w:rPr>
          <w:rFonts w:hint="eastAsia" w:ascii="黑体" w:hAnsi="黑体" w:eastAsia="黑体"/>
          <w:szCs w:val="21"/>
          <w:highlight w:val="none"/>
        </w:rPr>
        <w:t xml:space="preserve"> 在线NIR光谱分析</w:t>
      </w:r>
    </w:p>
    <w:p w14:paraId="2794CBE2">
      <w:pPr>
        <w:numPr>
          <w:ilvl w:val="0"/>
          <w:numId w:val="1"/>
        </w:numPr>
        <w:jc w:val="left"/>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30"/>
          <w:szCs w:val="30"/>
          <w:shd w:val="clear" w:color="auto" w:fill="FFFFFF"/>
        </w:rPr>
        <w:t>成果和价值</w:t>
      </w:r>
    </w:p>
    <w:p w14:paraId="3342215C">
      <w:pPr>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1.案例成果</w:t>
      </w:r>
    </w:p>
    <w:p w14:paraId="129632BA">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在食品生产加工的原料筛选、发酵监测、成品检测等环节，研发 “AI 豆脸技术”“AI 电子鼻”“在线 NIR 光谱分析” 等品控技术，实现了食品加工各环节的智能化和精准化。​</w:t>
      </w:r>
    </w:p>
    <w:p w14:paraId="2F53DFD3">
      <w:pPr>
        <w:ind w:firstLine="536" w:firstLineChars="200"/>
        <w:rPr>
          <w:rFonts w:hint="eastAsia" w:ascii="仿宋" w:hAnsi="仿宋" w:eastAsia="仿宋" w:cs="宋体"/>
          <w:color w:val="333333"/>
          <w:spacing w:val="-6"/>
          <w:kern w:val="0"/>
          <w:sz w:val="28"/>
          <w:szCs w:val="28"/>
          <w:highlight w:val="none"/>
          <w:shd w:val="clear" w:color="auto" w:fill="FFFFFF"/>
          <w:lang w:eastAsia="zh-CN"/>
        </w:rPr>
      </w:pPr>
      <w:r>
        <w:rPr>
          <w:rFonts w:hint="eastAsia" w:ascii="仿宋" w:hAnsi="仿宋" w:eastAsia="仿宋" w:cs="宋体"/>
          <w:color w:val="333333"/>
          <w:spacing w:val="-6"/>
          <w:kern w:val="0"/>
          <w:sz w:val="28"/>
          <w:szCs w:val="28"/>
          <w:highlight w:val="none"/>
          <w:shd w:val="clear" w:color="auto" w:fill="FFFFFF"/>
        </w:rPr>
        <w:t>通过引入数字化技术，对比2021年，海天在酱油关键工序产品不良率下降到10.7PPM，达行业领先水平。行业首创“AI电子鼻”相比传统人工嗅闻，识别准确率提升</w:t>
      </w:r>
      <w:r>
        <w:rPr>
          <w:rFonts w:ascii="仿宋" w:hAnsi="仿宋" w:eastAsia="仿宋" w:cs="宋体"/>
          <w:color w:val="333333"/>
          <w:spacing w:val="-6"/>
          <w:kern w:val="0"/>
          <w:sz w:val="28"/>
          <w:szCs w:val="28"/>
          <w:highlight w:val="none"/>
          <w:shd w:val="clear" w:color="auto" w:fill="FFFFFF"/>
        </w:rPr>
        <w:t>18.4</w:t>
      </w:r>
      <w:r>
        <w:rPr>
          <w:rFonts w:hint="eastAsia" w:ascii="仿宋" w:hAnsi="仿宋" w:eastAsia="仿宋" w:cs="宋体"/>
          <w:color w:val="333333"/>
          <w:spacing w:val="-6"/>
          <w:kern w:val="0"/>
          <w:sz w:val="28"/>
          <w:szCs w:val="28"/>
          <w:highlight w:val="none"/>
          <w:shd w:val="clear" w:color="auto" w:fill="FFFFFF"/>
        </w:rPr>
        <w:t>%。通过智能化的预警、决策和调优控制，制曲发酵生产过程调整效率提升14倍，重点用能设备赋能AI电单耗下降20%，订单排产效率以及排产合理性明显大幅提升，订单交付时间缩短</w:t>
      </w:r>
      <w:r>
        <w:rPr>
          <w:rFonts w:ascii="仿宋" w:hAnsi="仿宋" w:eastAsia="仿宋" w:cs="宋体"/>
          <w:color w:val="333333"/>
          <w:spacing w:val="-6"/>
          <w:kern w:val="0"/>
          <w:sz w:val="28"/>
          <w:szCs w:val="28"/>
          <w:highlight w:val="none"/>
          <w:shd w:val="clear" w:color="auto" w:fill="FFFFFF"/>
        </w:rPr>
        <w:t>38.7</w:t>
      </w:r>
      <w:r>
        <w:rPr>
          <w:rFonts w:hint="eastAsia" w:ascii="仿宋" w:hAnsi="仿宋" w:eastAsia="仿宋" w:cs="宋体"/>
          <w:color w:val="333333"/>
          <w:spacing w:val="-6"/>
          <w:kern w:val="0"/>
          <w:sz w:val="28"/>
          <w:szCs w:val="28"/>
          <w:highlight w:val="none"/>
          <w:shd w:val="clear" w:color="auto" w:fill="FFFFFF"/>
        </w:rPr>
        <w:t>%。结合食品加工数字化创新项目的落地，成本节约1000万以上。</w:t>
      </w:r>
    </w:p>
    <w:p w14:paraId="1558BED2">
      <w:pPr>
        <w:ind w:firstLine="536" w:firstLineChars="200"/>
        <w:rPr>
          <w:rFonts w:hint="eastAsia"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通过数字化变革实践开创发展新格局，陆续获得国家级“智能制造标杆企业”、佛山市首批“一级数字化智能化示范工厂”等荣誉称号。在2025年1月，海天高明产业园区成功获得国际权威认证的“灯塔工厂”，达到智能制造和数字化的全球领先标准，成为全球首家且唯一酿造调味品上榜企业，为调味品行业的智能转型升级树立了新的标杆。</w:t>
      </w:r>
    </w:p>
    <w:p w14:paraId="3DEAB55A">
      <w:pPr>
        <w:ind w:firstLine="420" w:firstLineChars="200"/>
        <w:rPr>
          <w:rFonts w:hint="eastAsia" w:ascii="宋体" w:hAnsi="宋体" w:eastAsia="宋体" w:cs="Times New Roman"/>
        </w:rPr>
      </w:pPr>
      <w:r>
        <w:rPr>
          <w:rFonts w:hint="eastAsia" w:ascii="宋体" w:hAnsi="宋体" w:eastAsia="宋体" w:cs="Times New Roman"/>
        </w:rPr>
        <w:drawing>
          <wp:inline distT="0" distB="0" distL="0" distR="0">
            <wp:extent cx="5700395" cy="1945005"/>
            <wp:effectExtent l="0" t="0" r="14605" b="1714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00395" cy="1945005"/>
                    </a:xfrm>
                    <a:prstGeom prst="rect">
                      <a:avLst/>
                    </a:prstGeom>
                    <a:noFill/>
                  </pic:spPr>
                </pic:pic>
              </a:graphicData>
            </a:graphic>
          </wp:inline>
        </w:drawing>
      </w:r>
    </w:p>
    <w:p w14:paraId="2FC9F4C1">
      <w:pPr>
        <w:widowControl w:val="0"/>
        <w:spacing w:after="120"/>
        <w:ind w:firstLine="420" w:firstLineChars="200"/>
        <w:jc w:val="center"/>
        <w:rPr>
          <w:rFonts w:hint="eastAsia" w:ascii="宋体" w:hAnsi="宋体" w:eastAsia="宋体" w:cs="Times New Roman"/>
          <w:highlight w:val="none"/>
        </w:rPr>
      </w:pPr>
      <w:r>
        <w:rPr>
          <w:rFonts w:hint="eastAsia" w:ascii="黑体" w:hAnsi="黑体" w:eastAsia="黑体"/>
          <w:szCs w:val="21"/>
          <w:highlight w:val="none"/>
        </w:rPr>
        <w:t>图</w:t>
      </w:r>
      <w:r>
        <w:rPr>
          <w:rFonts w:hint="eastAsia" w:ascii="黑体" w:hAnsi="黑体" w:eastAsia="黑体"/>
          <w:szCs w:val="21"/>
          <w:highlight w:val="none"/>
          <w:lang w:val="en-US" w:eastAsia="zh-CN"/>
        </w:rPr>
        <w:t>7</w:t>
      </w:r>
      <w:r>
        <w:rPr>
          <w:rFonts w:hint="eastAsia" w:ascii="黑体" w:hAnsi="黑体" w:eastAsia="黑体"/>
          <w:szCs w:val="21"/>
          <w:highlight w:val="none"/>
        </w:rPr>
        <w:t xml:space="preserve"> 智能化数字化荣誉奖牌</w:t>
      </w:r>
      <w:bookmarkStart w:id="0" w:name="_GoBack"/>
      <w:bookmarkEnd w:id="0"/>
    </w:p>
    <w:p w14:paraId="1B42C674">
      <w:pPr>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2、推广复制价值</w:t>
      </w:r>
    </w:p>
    <w:p w14:paraId="4C62F93C">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“品控智能化技术”是</w:t>
      </w:r>
      <w:r>
        <w:rPr>
          <w:rFonts w:hint="eastAsia" w:ascii="仿宋" w:hAnsi="仿宋" w:eastAsia="仿宋" w:cs="宋体"/>
          <w:b/>
          <w:bCs/>
          <w:color w:val="333333"/>
          <w:spacing w:val="-6"/>
          <w:kern w:val="0"/>
          <w:sz w:val="28"/>
          <w:szCs w:val="28"/>
          <w:shd w:val="clear" w:color="auto" w:fill="FFFFFF"/>
        </w:rPr>
        <w:t>传统制造业</w:t>
      </w:r>
      <w:r>
        <w:rPr>
          <w:rFonts w:hint="eastAsia" w:ascii="仿宋" w:hAnsi="仿宋" w:eastAsia="仿宋" w:cs="宋体"/>
          <w:color w:val="333333"/>
          <w:spacing w:val="-6"/>
          <w:kern w:val="0"/>
          <w:sz w:val="28"/>
          <w:szCs w:val="28"/>
          <w:shd w:val="clear" w:color="auto" w:fill="FFFFFF"/>
        </w:rPr>
        <w:t>转型创新的经典案例，在一定程度上成功解决了大规模、高速度生产给企业带来的食品安全与质量风险。AI质检、数字孪生等通用技术，可适配食品、化工、制药等制造行业，适用于传统行业质量控制升级，尤其是劳动密集型产业的智能化转型。</w:t>
      </w:r>
    </w:p>
    <w:p w14:paraId="5758B73B">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海天将持续以“灯塔工厂”引领企业高质量发展，不断打造新的“灯塔数智用例”。目前，已推广应用至集团旗下江苏、南宁、武汉等工厂。</w:t>
      </w:r>
    </w:p>
    <w:p w14:paraId="4E26177E">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将充分发挥供应链协同作用，带动上下游企业数字化智能化转型。目前，已推动核心包装物供应量99%的供应链企业实施生产环节统一标准的数字化改造，共创共享实现供应端、生产端、销售端的良性互动发展，对推动产业链数字化转型、高质量发展具有重要意义。</w:t>
      </w:r>
    </w:p>
    <w:p w14:paraId="28137167">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“10100精益制造体系”，该模式不仅适用于数字化转型企业，还适用于制造型企业的食品安全以及生产过程控制管理，可以助力企业实现从“合规达标”到“卓越绩效”的质量跨越。</w:t>
      </w:r>
    </w:p>
    <w:sectPr>
      <w:pgSz w:w="11906" w:h="16838"/>
      <w:pgMar w:top="850" w:right="1304" w:bottom="850" w:left="130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2C012"/>
    <w:multiLevelType w:val="singleLevel"/>
    <w:tmpl w:val="C282C012"/>
    <w:lvl w:ilvl="0" w:tentative="0">
      <w:start w:val="1"/>
      <w:numFmt w:val="decimal"/>
      <w:suff w:val="nothing"/>
      <w:lvlText w:val="（%1）"/>
      <w:lvlJc w:val="left"/>
    </w:lvl>
  </w:abstractNum>
  <w:abstractNum w:abstractNumId="1">
    <w:nsid w:val="4BD0F9B6"/>
    <w:multiLevelType w:val="singleLevel"/>
    <w:tmpl w:val="4BD0F9B6"/>
    <w:lvl w:ilvl="0" w:tentative="0">
      <w:start w:val="2"/>
      <w:numFmt w:val="decimal"/>
      <w:suff w:val="nothing"/>
      <w:lvlText w:val="（%1）"/>
      <w:lvlJc w:val="left"/>
      <w:rPr>
        <w:rFonts w:hint="default"/>
        <w:b/>
        <w:bCs/>
      </w:rPr>
    </w:lvl>
  </w:abstractNum>
  <w:abstractNum w:abstractNumId="2">
    <w:nsid w:val="70F8B533"/>
    <w:multiLevelType w:val="singleLevel"/>
    <w:tmpl w:val="70F8B533"/>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C5513"/>
    <w:rsid w:val="00180DB3"/>
    <w:rsid w:val="00343493"/>
    <w:rsid w:val="003D48AC"/>
    <w:rsid w:val="004126A1"/>
    <w:rsid w:val="007705CD"/>
    <w:rsid w:val="00A65E5D"/>
    <w:rsid w:val="00BB1B65"/>
    <w:rsid w:val="00BD0E5A"/>
    <w:rsid w:val="00C448CD"/>
    <w:rsid w:val="00E328CF"/>
    <w:rsid w:val="00F64565"/>
    <w:rsid w:val="03EE1902"/>
    <w:rsid w:val="065E4B7E"/>
    <w:rsid w:val="098A50B6"/>
    <w:rsid w:val="09EA0953"/>
    <w:rsid w:val="0A567C82"/>
    <w:rsid w:val="0B1D7A4B"/>
    <w:rsid w:val="0EA24D8E"/>
    <w:rsid w:val="0F443215"/>
    <w:rsid w:val="11516BF6"/>
    <w:rsid w:val="1430519D"/>
    <w:rsid w:val="145A2275"/>
    <w:rsid w:val="22AF59F3"/>
    <w:rsid w:val="296F5A87"/>
    <w:rsid w:val="2AC3288C"/>
    <w:rsid w:val="2BD829FE"/>
    <w:rsid w:val="2C431974"/>
    <w:rsid w:val="2D6B5891"/>
    <w:rsid w:val="2DD03541"/>
    <w:rsid w:val="2F0B37BA"/>
    <w:rsid w:val="36E074E9"/>
    <w:rsid w:val="387A136A"/>
    <w:rsid w:val="387F53C0"/>
    <w:rsid w:val="3CA82D5A"/>
    <w:rsid w:val="3CFE3C20"/>
    <w:rsid w:val="3E947539"/>
    <w:rsid w:val="40F70F22"/>
    <w:rsid w:val="41834BC6"/>
    <w:rsid w:val="45012FFB"/>
    <w:rsid w:val="4A6B633A"/>
    <w:rsid w:val="4AFC5513"/>
    <w:rsid w:val="534F6994"/>
    <w:rsid w:val="5CE323F2"/>
    <w:rsid w:val="5E822968"/>
    <w:rsid w:val="5FC93112"/>
    <w:rsid w:val="60710045"/>
    <w:rsid w:val="607B41D8"/>
    <w:rsid w:val="62685F81"/>
    <w:rsid w:val="66115A83"/>
    <w:rsid w:val="6745107B"/>
    <w:rsid w:val="68306957"/>
    <w:rsid w:val="6D357DB9"/>
    <w:rsid w:val="6FD61A83"/>
    <w:rsid w:val="74E2254A"/>
    <w:rsid w:val="7605562E"/>
    <w:rsid w:val="7CD63125"/>
    <w:rsid w:val="7D967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704</Words>
  <Characters>4016</Characters>
  <Lines>33</Lines>
  <Paragraphs>9</Paragraphs>
  <TotalTime>35</TotalTime>
  <ScaleCrop>false</ScaleCrop>
  <LinksUpToDate>false</LinksUpToDate>
  <CharactersWithSpaces>4711</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2025-07-04T01:38:00Z</dcterms:created>
  <dc:creator>朱思俞</dc:creator>
  <cp:lastModifiedBy>苏洪波</cp:lastModifiedBy>
  <dcterms:modified xsi:type="dcterms:W3CDTF">2026-04-28T01:29:46Z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6A7269B37B5148ED861DFEDC7975A2F6</vt:lpwstr>
  </property>
</Properties>
</file>