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7035F9">
      <w:pPr>
        <w:spacing w:line="360" w:lineRule="auto"/>
        <w:jc w:val="left"/>
        <w:rPr>
          <w:rFonts w:hint="eastAsia" w:ascii="仿宋" w:hAnsi="仿宋" w:eastAsia="仿宋" w:cs="仿宋"/>
          <w:bCs/>
          <w:sz w:val="30"/>
          <w:szCs w:val="30"/>
        </w:rPr>
      </w:pPr>
      <w:r>
        <w:rPr>
          <w:rFonts w:hint="default" w:ascii="Calibri" w:hAnsi="Calibri" w:eastAsia="仿宋" w:cs="Calibri"/>
          <w:b/>
          <w:sz w:val="30"/>
          <w:szCs w:val="30"/>
        </w:rPr>
        <w:t>附件1：</w:t>
      </w:r>
    </w:p>
    <w:p w14:paraId="19574440">
      <w:pPr>
        <w:spacing w:line="360" w:lineRule="auto"/>
        <w:jc w:val="center"/>
        <w:rPr>
          <w:rFonts w:hint="eastAsia" w:ascii="仿宋" w:hAnsi="仿宋" w:eastAsia="仿宋" w:cs="仿宋"/>
          <w:b/>
          <w:sz w:val="36"/>
          <w:szCs w:val="36"/>
        </w:rPr>
      </w:pPr>
      <w:bookmarkStart w:id="0" w:name="OLE_LINK105"/>
      <w:r>
        <w:rPr>
          <w:rFonts w:hint="eastAsia" w:ascii="仿宋" w:hAnsi="仿宋" w:eastAsia="仿宋" w:cs="仿宋"/>
          <w:b/>
          <w:sz w:val="36"/>
          <w:szCs w:val="36"/>
        </w:rPr>
        <w:t>2025食</w:t>
      </w:r>
      <w:bookmarkStart w:id="1" w:name="OLE_LINK86"/>
      <w:r>
        <w:rPr>
          <w:rFonts w:hint="eastAsia" w:ascii="仿宋" w:hAnsi="仿宋" w:eastAsia="仿宋" w:cs="仿宋"/>
          <w:b/>
          <w:sz w:val="36"/>
          <w:szCs w:val="36"/>
        </w:rPr>
        <w:t>品</w:t>
      </w:r>
      <w:bookmarkStart w:id="2" w:name="OLE_LINK96"/>
      <w:r>
        <w:rPr>
          <w:rFonts w:hint="eastAsia" w:ascii="仿宋" w:hAnsi="仿宋" w:eastAsia="仿宋" w:cs="仿宋"/>
          <w:b/>
          <w:sz w:val="36"/>
          <w:szCs w:val="36"/>
        </w:rPr>
        <w:t>安全创新案</w:t>
      </w:r>
      <w:bookmarkEnd w:id="1"/>
      <w:r>
        <w:rPr>
          <w:rFonts w:hint="eastAsia" w:ascii="仿宋" w:hAnsi="仿宋" w:eastAsia="仿宋" w:cs="仿宋"/>
          <w:b/>
          <w:sz w:val="36"/>
          <w:szCs w:val="36"/>
        </w:rPr>
        <w:t>例申</w:t>
      </w:r>
      <w:bookmarkEnd w:id="2"/>
      <w:r>
        <w:rPr>
          <w:rFonts w:hint="eastAsia" w:ascii="仿宋" w:hAnsi="仿宋" w:eastAsia="仿宋" w:cs="仿宋"/>
          <w:b/>
          <w:sz w:val="36"/>
          <w:szCs w:val="36"/>
        </w:rPr>
        <w:t>报表</w:t>
      </w:r>
      <w:bookmarkEnd w:id="0"/>
    </w:p>
    <w:tbl>
      <w:tblPr>
        <w:tblStyle w:val="5"/>
        <w:tblW w:w="9776"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8" w:type="dxa"/>
          <w:bottom w:w="0" w:type="dxa"/>
          <w:right w:w="108" w:type="dxa"/>
        </w:tblCellMar>
      </w:tblPr>
      <w:tblGrid>
        <w:gridCol w:w="2281"/>
        <w:gridCol w:w="3240"/>
        <w:gridCol w:w="1559"/>
        <w:gridCol w:w="2696"/>
      </w:tblGrid>
      <w:tr w14:paraId="0C5468A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vAlign w:val="center"/>
          </w:tcPr>
          <w:p w14:paraId="28AC607F">
            <w:pPr>
              <w:jc w:val="center"/>
              <w:rPr>
                <w:rFonts w:hint="eastAsia" w:ascii="仿宋" w:hAnsi="仿宋" w:eastAsia="仿宋" w:cs="仿宋"/>
                <w:kern w:val="0"/>
                <w:sz w:val="28"/>
                <w:szCs w:val="28"/>
              </w:rPr>
            </w:pPr>
            <w:r>
              <w:rPr>
                <w:rFonts w:hint="eastAsia" w:ascii="仿宋" w:hAnsi="仿宋" w:eastAsia="仿宋" w:cs="仿宋"/>
                <w:kern w:val="0"/>
                <w:sz w:val="28"/>
                <w:szCs w:val="28"/>
              </w:rPr>
              <w:t>企业全称</w:t>
            </w:r>
          </w:p>
        </w:tc>
        <w:tc>
          <w:tcPr>
            <w:tcW w:w="7495" w:type="dxa"/>
            <w:gridSpan w:val="3"/>
            <w:vAlign w:val="center"/>
          </w:tcPr>
          <w:p w14:paraId="4D252A5E">
            <w:pPr>
              <w:jc w:val="center"/>
              <w:rPr>
                <w:rFonts w:hint="eastAsia" w:ascii="仿宋" w:hAnsi="仿宋" w:eastAsia="仿宋" w:cs="仿宋"/>
                <w:kern w:val="0"/>
                <w:sz w:val="28"/>
                <w:szCs w:val="28"/>
                <w:lang w:val="en-US" w:eastAsia="zh-CN"/>
              </w:rPr>
            </w:pPr>
            <w:r>
              <w:rPr>
                <w:rFonts w:hint="eastAsia" w:ascii="仿宋" w:hAnsi="仿宋" w:eastAsia="仿宋" w:cs="仿宋"/>
                <w:kern w:val="0"/>
                <w:sz w:val="28"/>
                <w:szCs w:val="28"/>
                <w:lang w:val="en-US" w:eastAsia="zh-CN"/>
              </w:rPr>
              <w:t>明康汇生态农业集团有限公司</w:t>
            </w:r>
          </w:p>
        </w:tc>
      </w:tr>
      <w:tr w14:paraId="0130C17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vAlign w:val="center"/>
          </w:tcPr>
          <w:p w14:paraId="53945AA8">
            <w:pPr>
              <w:jc w:val="center"/>
              <w:rPr>
                <w:rFonts w:hint="eastAsia" w:ascii="仿宋" w:hAnsi="仿宋" w:eastAsia="仿宋" w:cs="仿宋"/>
                <w:kern w:val="0"/>
                <w:sz w:val="28"/>
                <w:szCs w:val="28"/>
              </w:rPr>
            </w:pPr>
            <w:r>
              <w:rPr>
                <w:rFonts w:hint="eastAsia" w:ascii="仿宋" w:hAnsi="仿宋" w:eastAsia="仿宋" w:cs="仿宋"/>
                <w:kern w:val="0"/>
                <w:sz w:val="28"/>
                <w:szCs w:val="28"/>
              </w:rPr>
              <w:t>联系人</w:t>
            </w:r>
          </w:p>
        </w:tc>
        <w:tc>
          <w:tcPr>
            <w:tcW w:w="3240" w:type="dxa"/>
            <w:vAlign w:val="center"/>
          </w:tcPr>
          <w:p w14:paraId="602F0AD7">
            <w:pPr>
              <w:jc w:val="center"/>
              <w:rPr>
                <w:rFonts w:hint="eastAsia" w:ascii="仿宋" w:hAnsi="仿宋" w:eastAsia="仿宋" w:cs="仿宋"/>
                <w:kern w:val="0"/>
                <w:sz w:val="28"/>
                <w:szCs w:val="28"/>
                <w:lang w:val="en-US" w:eastAsia="zh-CN"/>
              </w:rPr>
            </w:pPr>
            <w:r>
              <w:rPr>
                <w:rFonts w:hint="eastAsia" w:ascii="仿宋" w:hAnsi="仿宋" w:eastAsia="仿宋" w:cs="仿宋"/>
                <w:kern w:val="0"/>
                <w:sz w:val="28"/>
                <w:szCs w:val="28"/>
                <w:lang w:val="en-US" w:eastAsia="zh-CN"/>
              </w:rPr>
              <w:t>余品仪</w:t>
            </w:r>
          </w:p>
        </w:tc>
        <w:tc>
          <w:tcPr>
            <w:tcW w:w="1559" w:type="dxa"/>
            <w:vAlign w:val="center"/>
          </w:tcPr>
          <w:p w14:paraId="2AF0D20F">
            <w:pPr>
              <w:jc w:val="center"/>
              <w:rPr>
                <w:rFonts w:hint="eastAsia" w:ascii="仿宋" w:hAnsi="仿宋" w:eastAsia="仿宋" w:cs="仿宋"/>
                <w:kern w:val="0"/>
                <w:sz w:val="28"/>
                <w:szCs w:val="28"/>
              </w:rPr>
            </w:pPr>
            <w:bookmarkStart w:id="3" w:name="OLE_LINK82"/>
            <w:r>
              <w:rPr>
                <w:rFonts w:hint="eastAsia" w:ascii="仿宋" w:hAnsi="仿宋" w:eastAsia="仿宋" w:cs="仿宋"/>
                <w:kern w:val="0"/>
                <w:sz w:val="28"/>
                <w:szCs w:val="28"/>
              </w:rPr>
              <w:t>联系电话</w:t>
            </w:r>
            <w:bookmarkEnd w:id="3"/>
          </w:p>
        </w:tc>
        <w:tc>
          <w:tcPr>
            <w:tcW w:w="2696" w:type="dxa"/>
            <w:vAlign w:val="center"/>
          </w:tcPr>
          <w:p w14:paraId="7622C946">
            <w:pPr>
              <w:jc w:val="center"/>
              <w:rPr>
                <w:rFonts w:hint="eastAsia" w:ascii="仿宋" w:hAnsi="仿宋" w:eastAsia="仿宋" w:cs="仿宋"/>
                <w:kern w:val="0"/>
                <w:sz w:val="28"/>
                <w:szCs w:val="28"/>
                <w:lang w:val="en-US" w:eastAsia="zh-CN"/>
              </w:rPr>
            </w:pPr>
            <w:r>
              <w:rPr>
                <w:rFonts w:hint="eastAsia" w:ascii="仿宋" w:hAnsi="仿宋" w:eastAsia="仿宋" w:cs="仿宋"/>
                <w:kern w:val="0"/>
                <w:sz w:val="28"/>
                <w:szCs w:val="28"/>
                <w:lang w:val="en-US" w:eastAsia="zh-CN"/>
              </w:rPr>
              <w:t>13777364810</w:t>
            </w:r>
          </w:p>
        </w:tc>
      </w:tr>
      <w:tr w14:paraId="6BCCFD2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vAlign w:val="center"/>
          </w:tcPr>
          <w:p w14:paraId="4DEE9C50">
            <w:pPr>
              <w:jc w:val="center"/>
              <w:rPr>
                <w:rFonts w:hint="eastAsia" w:ascii="仿宋" w:hAnsi="仿宋" w:eastAsia="仿宋" w:cs="仿宋"/>
                <w:kern w:val="0"/>
                <w:sz w:val="28"/>
                <w:szCs w:val="28"/>
              </w:rPr>
            </w:pPr>
            <w:bookmarkStart w:id="4" w:name="OLE_LINK83" w:colFirst="0" w:colLast="2"/>
            <w:r>
              <w:rPr>
                <w:rFonts w:hint="eastAsia" w:ascii="仿宋" w:hAnsi="仿宋" w:eastAsia="仿宋" w:cs="仿宋"/>
                <w:kern w:val="0"/>
                <w:sz w:val="28"/>
                <w:szCs w:val="28"/>
              </w:rPr>
              <w:t>部门</w:t>
            </w:r>
          </w:p>
        </w:tc>
        <w:tc>
          <w:tcPr>
            <w:tcW w:w="3240" w:type="dxa"/>
            <w:vAlign w:val="center"/>
          </w:tcPr>
          <w:p w14:paraId="0363AACE">
            <w:pPr>
              <w:jc w:val="center"/>
              <w:rPr>
                <w:rFonts w:hint="eastAsia" w:ascii="仿宋" w:hAnsi="仿宋" w:eastAsia="仿宋" w:cs="仿宋"/>
                <w:kern w:val="0"/>
                <w:sz w:val="28"/>
                <w:szCs w:val="28"/>
                <w:lang w:val="en-US" w:eastAsia="zh-CN"/>
              </w:rPr>
            </w:pPr>
            <w:r>
              <w:rPr>
                <w:rFonts w:hint="eastAsia" w:ascii="仿宋" w:hAnsi="仿宋" w:eastAsia="仿宋" w:cs="仿宋"/>
                <w:kern w:val="0"/>
                <w:sz w:val="28"/>
                <w:szCs w:val="28"/>
                <w:lang w:val="en-US" w:eastAsia="zh-CN"/>
              </w:rPr>
              <w:t>食品安全管理部</w:t>
            </w:r>
          </w:p>
        </w:tc>
        <w:tc>
          <w:tcPr>
            <w:tcW w:w="1559" w:type="dxa"/>
            <w:vAlign w:val="center"/>
          </w:tcPr>
          <w:p w14:paraId="31E47D73">
            <w:pPr>
              <w:jc w:val="center"/>
              <w:rPr>
                <w:rFonts w:hint="eastAsia" w:ascii="仿宋" w:hAnsi="仿宋" w:eastAsia="仿宋" w:cs="仿宋"/>
                <w:kern w:val="0"/>
                <w:sz w:val="28"/>
                <w:szCs w:val="28"/>
              </w:rPr>
            </w:pPr>
            <w:r>
              <w:rPr>
                <w:rFonts w:hint="eastAsia" w:ascii="仿宋" w:hAnsi="仿宋" w:eastAsia="仿宋" w:cs="仿宋"/>
                <w:kern w:val="0"/>
                <w:sz w:val="28"/>
                <w:szCs w:val="28"/>
              </w:rPr>
              <w:t>职务</w:t>
            </w:r>
          </w:p>
        </w:tc>
        <w:tc>
          <w:tcPr>
            <w:tcW w:w="2696" w:type="dxa"/>
            <w:vAlign w:val="center"/>
          </w:tcPr>
          <w:p w14:paraId="712CA945">
            <w:pPr>
              <w:jc w:val="center"/>
              <w:rPr>
                <w:rFonts w:hint="eastAsia" w:ascii="仿宋" w:hAnsi="仿宋" w:eastAsia="仿宋" w:cs="仿宋"/>
                <w:kern w:val="0"/>
                <w:sz w:val="28"/>
                <w:szCs w:val="28"/>
                <w:lang w:val="en-US" w:eastAsia="zh-CN"/>
              </w:rPr>
            </w:pPr>
            <w:r>
              <w:rPr>
                <w:rFonts w:hint="eastAsia" w:ascii="仿宋" w:hAnsi="仿宋" w:eastAsia="仿宋" w:cs="仿宋"/>
                <w:kern w:val="0"/>
                <w:sz w:val="28"/>
                <w:szCs w:val="28"/>
                <w:lang w:val="en-US" w:eastAsia="zh-CN"/>
              </w:rPr>
              <w:t>食安保证高级经理</w:t>
            </w:r>
          </w:p>
        </w:tc>
      </w:tr>
      <w:tr w14:paraId="33FD0F8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9776" w:type="dxa"/>
            <w:gridSpan w:val="4"/>
            <w:vAlign w:val="center"/>
          </w:tcPr>
          <w:p w14:paraId="4BB08E77">
            <w:pPr>
              <w:jc w:val="center"/>
              <w:rPr>
                <w:rFonts w:hint="eastAsia" w:ascii="仿宋" w:hAnsi="仿宋" w:eastAsia="仿宋" w:cs="仿宋"/>
                <w:kern w:val="0"/>
                <w:sz w:val="28"/>
                <w:szCs w:val="28"/>
              </w:rPr>
            </w:pPr>
            <w:bookmarkStart w:id="5" w:name="OLE_LINK10"/>
            <w:r>
              <w:rPr>
                <w:rFonts w:hint="eastAsia" w:ascii="仿宋" w:hAnsi="仿宋" w:eastAsia="仿宋" w:cs="仿宋"/>
                <w:kern w:val="0"/>
                <w:sz w:val="28"/>
                <w:szCs w:val="28"/>
              </w:rPr>
              <w:t>案例1</w:t>
            </w:r>
          </w:p>
        </w:tc>
      </w:tr>
      <w:bookmarkEnd w:id="4"/>
      <w:tr w14:paraId="1A6A176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vAlign w:val="center"/>
          </w:tcPr>
          <w:p w14:paraId="55430470">
            <w:pPr>
              <w:jc w:val="center"/>
              <w:rPr>
                <w:rFonts w:hint="eastAsia" w:ascii="仿宋" w:hAnsi="仿宋" w:eastAsia="仿宋" w:cs="仿宋"/>
                <w:kern w:val="0"/>
                <w:sz w:val="28"/>
                <w:szCs w:val="28"/>
              </w:rPr>
            </w:pPr>
            <w:r>
              <w:rPr>
                <w:rFonts w:hint="eastAsia" w:ascii="仿宋" w:hAnsi="仿宋" w:eastAsia="仿宋" w:cs="仿宋"/>
                <w:kern w:val="0"/>
                <w:sz w:val="28"/>
                <w:szCs w:val="28"/>
              </w:rPr>
              <w:t>案例名称</w:t>
            </w:r>
            <w:bookmarkEnd w:id="5"/>
          </w:p>
        </w:tc>
        <w:tc>
          <w:tcPr>
            <w:tcW w:w="7495" w:type="dxa"/>
            <w:gridSpan w:val="3"/>
            <w:vAlign w:val="center"/>
          </w:tcPr>
          <w:p w14:paraId="5552C644">
            <w:pPr>
              <w:jc w:val="center"/>
              <w:rPr>
                <w:rFonts w:hint="eastAsia" w:ascii="仿宋" w:hAnsi="仿宋" w:eastAsia="仿宋" w:cs="仿宋"/>
                <w:kern w:val="0"/>
                <w:sz w:val="28"/>
                <w:szCs w:val="28"/>
              </w:rPr>
            </w:pPr>
            <w:r>
              <w:rPr>
                <w:rFonts w:hint="eastAsia" w:ascii="仿宋" w:hAnsi="仿宋" w:eastAsia="仿宋" w:cs="仿宋"/>
                <w:kern w:val="0"/>
                <w:sz w:val="24"/>
                <w:szCs w:val="24"/>
              </w:rPr>
              <w:t>从“被动应对”到“主动防控”</w:t>
            </w:r>
            <w:r>
              <w:rPr>
                <w:rFonts w:hint="eastAsia" w:ascii="仿宋" w:hAnsi="仿宋" w:eastAsia="仿宋" w:cs="仿宋"/>
                <w:kern w:val="0"/>
                <w:sz w:val="24"/>
                <w:szCs w:val="24"/>
                <w:lang w:eastAsia="zh-CN"/>
              </w:rPr>
              <w:t>，</w:t>
            </w:r>
            <w:r>
              <w:rPr>
                <w:rFonts w:hint="eastAsia" w:ascii="仿宋" w:hAnsi="仿宋" w:eastAsia="仿宋" w:cs="仿宋"/>
                <w:kern w:val="0"/>
                <w:sz w:val="24"/>
                <w:szCs w:val="24"/>
              </w:rPr>
              <w:t>标品异物治理项目的升级与突破</w:t>
            </w:r>
          </w:p>
        </w:tc>
      </w:tr>
      <w:tr w14:paraId="594D590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vAlign w:val="center"/>
          </w:tcPr>
          <w:p w14:paraId="3C2052DD">
            <w:pPr>
              <w:snapToGrid w:val="0"/>
              <w:jc w:val="center"/>
              <w:rPr>
                <w:rFonts w:hint="eastAsia" w:ascii="仿宋" w:hAnsi="仿宋" w:eastAsia="仿宋" w:cs="仿宋"/>
                <w:kern w:val="0"/>
                <w:sz w:val="28"/>
                <w:szCs w:val="28"/>
              </w:rPr>
            </w:pPr>
            <w:bookmarkStart w:id="6" w:name="OLE_LINK92" w:colFirst="1" w:colLast="2"/>
            <w:bookmarkStart w:id="7" w:name="OLE_LINK88"/>
            <w:bookmarkStart w:id="8" w:name="OLE_LINK85"/>
            <w:r>
              <w:rPr>
                <w:rFonts w:hint="eastAsia" w:ascii="仿宋" w:hAnsi="仿宋" w:eastAsia="仿宋" w:cs="仿宋"/>
                <w:kern w:val="0"/>
                <w:sz w:val="28"/>
                <w:szCs w:val="28"/>
              </w:rPr>
              <w:t>申报方向</w:t>
            </w:r>
          </w:p>
          <w:p w14:paraId="7E2D3A33">
            <w:pPr>
              <w:snapToGrid w:val="0"/>
              <w:jc w:val="center"/>
              <w:rPr>
                <w:rFonts w:hint="eastAsia" w:ascii="仿宋" w:hAnsi="仿宋" w:eastAsia="仿宋" w:cs="仿宋"/>
                <w:kern w:val="0"/>
                <w:sz w:val="28"/>
                <w:szCs w:val="28"/>
              </w:rPr>
            </w:pPr>
            <w:r>
              <w:rPr>
                <w:rFonts w:hint="eastAsia" w:ascii="仿宋" w:hAnsi="仿宋" w:eastAsia="仿宋" w:cs="仿宋"/>
                <w:kern w:val="0"/>
                <w:szCs w:val="21"/>
              </w:rPr>
              <w:t>（每个案例对应1个）</w:t>
            </w:r>
          </w:p>
        </w:tc>
        <w:tc>
          <w:tcPr>
            <w:tcW w:w="7495" w:type="dxa"/>
            <w:gridSpan w:val="3"/>
            <w:vAlign w:val="center"/>
          </w:tcPr>
          <w:p w14:paraId="0C50BA8F">
            <w:pPr>
              <w:jc w:val="center"/>
              <w:rPr>
                <w:rFonts w:hint="eastAsia" w:ascii="仿宋" w:hAnsi="仿宋" w:eastAsia="仿宋" w:cs="仿宋"/>
                <w:kern w:val="0"/>
                <w:sz w:val="28"/>
                <w:szCs w:val="28"/>
              </w:rPr>
            </w:pPr>
            <w:r>
              <w:rPr>
                <w:rFonts w:hint="eastAsia" w:ascii="仿宋" w:hAnsi="仿宋" w:eastAsia="仿宋" w:cs="仿宋"/>
                <w:kern w:val="0"/>
                <w:sz w:val="28"/>
                <w:szCs w:val="28"/>
              </w:rPr>
              <w:t>（</w:t>
            </w:r>
            <w:r>
              <w:rPr>
                <w:rFonts w:hint="eastAsia" w:ascii="仿宋" w:hAnsi="仿宋" w:eastAsia="仿宋" w:cs="仿宋"/>
                <w:kern w:val="0"/>
                <w:sz w:val="28"/>
                <w:szCs w:val="28"/>
                <w:lang w:val="en-US" w:eastAsia="zh-CN"/>
              </w:rPr>
              <w:t>三</w:t>
            </w:r>
            <w:r>
              <w:rPr>
                <w:rFonts w:hint="eastAsia" w:ascii="仿宋" w:hAnsi="仿宋" w:eastAsia="仿宋" w:cs="仿宋"/>
                <w:kern w:val="0"/>
                <w:sz w:val="28"/>
                <w:szCs w:val="28"/>
              </w:rPr>
              <w:t>）</w:t>
            </w:r>
            <w:r>
              <w:rPr>
                <w:rFonts w:hint="eastAsia" w:ascii="仿宋" w:hAnsi="仿宋" w:eastAsia="仿宋" w:cs="仿宋"/>
                <w:color w:val="333333"/>
                <w:spacing w:val="-6"/>
                <w:sz w:val="28"/>
                <w:szCs w:val="28"/>
                <w:shd w:val="clear" w:color="auto" w:fill="FFFFFF"/>
              </w:rPr>
              <w:t>生产与加工环节创新</w:t>
            </w:r>
          </w:p>
        </w:tc>
      </w:tr>
      <w:tr w14:paraId="5DD4F22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vAlign w:val="center"/>
          </w:tcPr>
          <w:p w14:paraId="2265FAE8">
            <w:pPr>
              <w:jc w:val="center"/>
              <w:rPr>
                <w:rFonts w:hint="eastAsia" w:ascii="仿宋" w:hAnsi="仿宋" w:eastAsia="仿宋" w:cs="仿宋"/>
                <w:kern w:val="0"/>
                <w:sz w:val="28"/>
                <w:szCs w:val="28"/>
              </w:rPr>
            </w:pPr>
            <w:r>
              <w:rPr>
                <w:rFonts w:hint="eastAsia" w:ascii="仿宋" w:hAnsi="仿宋" w:eastAsia="仿宋" w:cs="仿宋"/>
                <w:kern w:val="0"/>
                <w:sz w:val="28"/>
                <w:szCs w:val="28"/>
              </w:rPr>
              <w:t>申报形式</w:t>
            </w:r>
          </w:p>
        </w:tc>
        <w:tc>
          <w:tcPr>
            <w:tcW w:w="7495" w:type="dxa"/>
            <w:gridSpan w:val="3"/>
            <w:vAlign w:val="center"/>
          </w:tcPr>
          <w:p w14:paraId="62C69545">
            <w:pPr>
              <w:snapToGrid w:val="0"/>
              <w:jc w:val="left"/>
              <w:rPr>
                <w:rFonts w:hint="eastAsia" w:ascii="仿宋" w:hAnsi="仿宋" w:eastAsia="仿宋" w:cs="仿宋"/>
                <w:kern w:val="0"/>
                <w:sz w:val="28"/>
                <w:szCs w:val="28"/>
              </w:rPr>
            </w:pPr>
            <w:r>
              <w:rPr>
                <w:rFonts w:hint="eastAsia" w:ascii="仿宋" w:hAnsi="仿宋" w:eastAsia="仿宋" w:cs="仿宋"/>
                <w:kern w:val="0"/>
                <w:sz w:val="28"/>
                <w:szCs w:val="28"/>
                <w:lang w:eastAsia="zh-CN"/>
              </w:rPr>
              <w:t>☑</w:t>
            </w:r>
            <w:r>
              <w:rPr>
                <w:rFonts w:hint="eastAsia" w:ascii="仿宋" w:hAnsi="仿宋" w:eastAsia="仿宋" w:cs="仿宋"/>
                <w:kern w:val="0"/>
                <w:sz w:val="28"/>
                <w:szCs w:val="28"/>
              </w:rPr>
              <w:t xml:space="preserve"> 仅文字    □ 仅视频    □ 文字与视频结合</w:t>
            </w:r>
          </w:p>
        </w:tc>
      </w:tr>
      <w:tr w14:paraId="2F9C2B2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vAlign w:val="center"/>
          </w:tcPr>
          <w:p w14:paraId="70939D12">
            <w:pPr>
              <w:snapToGrid w:val="0"/>
              <w:jc w:val="center"/>
              <w:rPr>
                <w:rFonts w:hint="eastAsia" w:ascii="仿宋" w:hAnsi="仿宋" w:eastAsia="仿宋" w:cs="仿宋"/>
                <w:kern w:val="0"/>
                <w:sz w:val="28"/>
                <w:szCs w:val="28"/>
              </w:rPr>
            </w:pPr>
            <w:r>
              <w:rPr>
                <w:rFonts w:hint="eastAsia" w:ascii="仿宋" w:hAnsi="仿宋" w:eastAsia="仿宋" w:cs="仿宋"/>
                <w:kern w:val="0"/>
                <w:sz w:val="28"/>
                <w:szCs w:val="28"/>
              </w:rPr>
              <w:t>视频下载链接（如有）</w:t>
            </w:r>
          </w:p>
        </w:tc>
        <w:tc>
          <w:tcPr>
            <w:tcW w:w="7495" w:type="dxa"/>
            <w:gridSpan w:val="3"/>
            <w:vAlign w:val="center"/>
          </w:tcPr>
          <w:p w14:paraId="5E8632F4">
            <w:pPr>
              <w:jc w:val="center"/>
              <w:rPr>
                <w:rFonts w:hint="eastAsia" w:ascii="仿宋" w:hAnsi="仿宋" w:eastAsia="仿宋" w:cs="仿宋"/>
                <w:kern w:val="0"/>
                <w:sz w:val="28"/>
                <w:szCs w:val="28"/>
              </w:rPr>
            </w:pPr>
          </w:p>
        </w:tc>
      </w:tr>
      <w:tr w14:paraId="5956BC0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9776" w:type="dxa"/>
            <w:gridSpan w:val="4"/>
            <w:shd w:val="clear" w:color="auto" w:fill="auto"/>
            <w:vAlign w:val="center"/>
          </w:tcPr>
          <w:p w14:paraId="72065804">
            <w:pPr>
              <w:jc w:val="center"/>
              <w:rPr>
                <w:rFonts w:hint="eastAsia" w:ascii="仿宋" w:hAnsi="仿宋" w:eastAsia="仿宋" w:cs="仿宋"/>
                <w:kern w:val="0"/>
                <w:sz w:val="28"/>
                <w:szCs w:val="28"/>
              </w:rPr>
            </w:pPr>
            <w:r>
              <w:rPr>
                <w:rFonts w:hint="eastAsia" w:ascii="仿宋" w:hAnsi="仿宋" w:eastAsia="仿宋" w:cs="仿宋"/>
                <w:kern w:val="0"/>
                <w:sz w:val="28"/>
                <w:szCs w:val="28"/>
              </w:rPr>
              <w:t>案例2</w:t>
            </w:r>
          </w:p>
        </w:tc>
      </w:tr>
      <w:tr w14:paraId="27AB24A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shd w:val="clear" w:color="auto" w:fill="auto"/>
            <w:vAlign w:val="center"/>
          </w:tcPr>
          <w:p w14:paraId="669FB2A9">
            <w:pPr>
              <w:jc w:val="center"/>
              <w:rPr>
                <w:rFonts w:hint="eastAsia" w:ascii="仿宋" w:hAnsi="仿宋" w:eastAsia="仿宋" w:cs="仿宋"/>
                <w:kern w:val="0"/>
                <w:sz w:val="28"/>
                <w:szCs w:val="28"/>
              </w:rPr>
            </w:pPr>
            <w:r>
              <w:rPr>
                <w:rFonts w:hint="eastAsia" w:ascii="仿宋" w:hAnsi="仿宋" w:eastAsia="仿宋" w:cs="仿宋"/>
                <w:kern w:val="0"/>
                <w:sz w:val="28"/>
                <w:szCs w:val="28"/>
              </w:rPr>
              <w:t>案例名称</w:t>
            </w:r>
          </w:p>
        </w:tc>
        <w:tc>
          <w:tcPr>
            <w:tcW w:w="7495" w:type="dxa"/>
            <w:gridSpan w:val="3"/>
            <w:shd w:val="clear" w:color="auto" w:fill="auto"/>
            <w:vAlign w:val="center"/>
          </w:tcPr>
          <w:p w14:paraId="3F14CAA9">
            <w:pPr>
              <w:jc w:val="center"/>
              <w:rPr>
                <w:rFonts w:hint="eastAsia" w:ascii="仿宋" w:hAnsi="仿宋" w:eastAsia="仿宋" w:cs="仿宋"/>
                <w:kern w:val="0"/>
                <w:sz w:val="28"/>
                <w:szCs w:val="28"/>
              </w:rPr>
            </w:pPr>
          </w:p>
        </w:tc>
      </w:tr>
      <w:tr w14:paraId="185D05F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shd w:val="clear" w:color="auto" w:fill="auto"/>
            <w:vAlign w:val="center"/>
          </w:tcPr>
          <w:p w14:paraId="64209870">
            <w:pPr>
              <w:snapToGrid w:val="0"/>
              <w:jc w:val="center"/>
              <w:rPr>
                <w:rFonts w:hint="eastAsia" w:ascii="仿宋" w:hAnsi="仿宋" w:eastAsia="仿宋" w:cs="仿宋"/>
                <w:kern w:val="0"/>
                <w:sz w:val="28"/>
                <w:szCs w:val="28"/>
              </w:rPr>
            </w:pPr>
            <w:r>
              <w:rPr>
                <w:rFonts w:hint="eastAsia" w:ascii="仿宋" w:hAnsi="仿宋" w:eastAsia="仿宋" w:cs="仿宋"/>
                <w:kern w:val="0"/>
                <w:sz w:val="28"/>
                <w:szCs w:val="28"/>
              </w:rPr>
              <w:t>申报方向</w:t>
            </w:r>
          </w:p>
          <w:p w14:paraId="30F671B5">
            <w:pPr>
              <w:snapToGrid w:val="0"/>
              <w:jc w:val="center"/>
              <w:rPr>
                <w:rFonts w:hint="eastAsia" w:ascii="仿宋" w:hAnsi="仿宋" w:eastAsia="仿宋" w:cs="仿宋"/>
                <w:kern w:val="0"/>
                <w:sz w:val="28"/>
                <w:szCs w:val="28"/>
              </w:rPr>
            </w:pPr>
            <w:r>
              <w:rPr>
                <w:rFonts w:hint="eastAsia" w:ascii="仿宋" w:hAnsi="仿宋" w:eastAsia="仿宋" w:cs="仿宋"/>
                <w:kern w:val="0"/>
                <w:szCs w:val="21"/>
              </w:rPr>
              <w:t>（每个案例对应1个）</w:t>
            </w:r>
          </w:p>
        </w:tc>
        <w:tc>
          <w:tcPr>
            <w:tcW w:w="7495" w:type="dxa"/>
            <w:gridSpan w:val="3"/>
            <w:shd w:val="clear" w:color="auto" w:fill="auto"/>
            <w:vAlign w:val="center"/>
          </w:tcPr>
          <w:p w14:paraId="0A406BD0">
            <w:pPr>
              <w:jc w:val="center"/>
              <w:rPr>
                <w:rFonts w:hint="eastAsia" w:ascii="仿宋" w:hAnsi="仿宋" w:eastAsia="仿宋" w:cs="仿宋"/>
                <w:kern w:val="0"/>
                <w:sz w:val="28"/>
                <w:szCs w:val="28"/>
              </w:rPr>
            </w:pPr>
          </w:p>
        </w:tc>
      </w:tr>
      <w:tr w14:paraId="2086C99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shd w:val="clear" w:color="auto" w:fill="auto"/>
            <w:vAlign w:val="center"/>
          </w:tcPr>
          <w:p w14:paraId="397C0C64">
            <w:pPr>
              <w:jc w:val="center"/>
              <w:rPr>
                <w:rFonts w:hint="eastAsia" w:ascii="仿宋" w:hAnsi="仿宋" w:eastAsia="仿宋" w:cs="仿宋"/>
                <w:kern w:val="0"/>
                <w:sz w:val="28"/>
                <w:szCs w:val="28"/>
              </w:rPr>
            </w:pPr>
            <w:r>
              <w:rPr>
                <w:rFonts w:hint="eastAsia" w:ascii="仿宋" w:hAnsi="仿宋" w:eastAsia="仿宋" w:cs="仿宋"/>
                <w:kern w:val="0"/>
                <w:sz w:val="28"/>
                <w:szCs w:val="28"/>
              </w:rPr>
              <w:t>申报形式</w:t>
            </w:r>
          </w:p>
        </w:tc>
        <w:tc>
          <w:tcPr>
            <w:tcW w:w="7495" w:type="dxa"/>
            <w:gridSpan w:val="3"/>
            <w:shd w:val="clear" w:color="auto" w:fill="auto"/>
            <w:vAlign w:val="center"/>
          </w:tcPr>
          <w:p w14:paraId="26FB0CD6">
            <w:pPr>
              <w:snapToGrid w:val="0"/>
              <w:jc w:val="left"/>
              <w:rPr>
                <w:rFonts w:hint="eastAsia" w:ascii="仿宋" w:hAnsi="仿宋" w:eastAsia="仿宋" w:cs="仿宋"/>
                <w:kern w:val="0"/>
                <w:sz w:val="28"/>
                <w:szCs w:val="28"/>
              </w:rPr>
            </w:pPr>
            <w:r>
              <w:rPr>
                <w:rFonts w:hint="eastAsia" w:ascii="仿宋" w:hAnsi="仿宋" w:eastAsia="仿宋" w:cs="仿宋"/>
                <w:kern w:val="0"/>
                <w:sz w:val="28"/>
                <w:szCs w:val="28"/>
                <w:lang w:eastAsia="zh-CN"/>
              </w:rPr>
              <w:t>□</w:t>
            </w:r>
            <w:r>
              <w:rPr>
                <w:rFonts w:hint="eastAsia" w:ascii="仿宋" w:hAnsi="仿宋" w:eastAsia="仿宋" w:cs="仿宋"/>
                <w:kern w:val="0"/>
                <w:sz w:val="28"/>
                <w:szCs w:val="28"/>
              </w:rPr>
              <w:t xml:space="preserve"> 仅文字    □ 仅视频    □ 文字与视频结合</w:t>
            </w:r>
          </w:p>
        </w:tc>
      </w:tr>
      <w:tr w14:paraId="46B6143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shd w:val="clear" w:color="auto" w:fill="auto"/>
            <w:vAlign w:val="center"/>
          </w:tcPr>
          <w:p w14:paraId="666EF01B">
            <w:pPr>
              <w:snapToGrid w:val="0"/>
              <w:jc w:val="center"/>
              <w:rPr>
                <w:rFonts w:hint="eastAsia" w:ascii="仿宋" w:hAnsi="仿宋" w:eastAsia="仿宋" w:cs="仿宋"/>
                <w:kern w:val="0"/>
                <w:sz w:val="28"/>
                <w:szCs w:val="28"/>
              </w:rPr>
            </w:pPr>
            <w:r>
              <w:rPr>
                <w:rFonts w:hint="eastAsia" w:ascii="仿宋" w:hAnsi="仿宋" w:eastAsia="仿宋" w:cs="仿宋"/>
                <w:kern w:val="0"/>
                <w:sz w:val="28"/>
                <w:szCs w:val="28"/>
              </w:rPr>
              <w:t>视频下载链接（如有）</w:t>
            </w:r>
          </w:p>
        </w:tc>
        <w:tc>
          <w:tcPr>
            <w:tcW w:w="7495" w:type="dxa"/>
            <w:gridSpan w:val="3"/>
            <w:shd w:val="clear" w:color="auto" w:fill="auto"/>
            <w:vAlign w:val="center"/>
          </w:tcPr>
          <w:p w14:paraId="0D64D95F">
            <w:pPr>
              <w:jc w:val="center"/>
              <w:rPr>
                <w:rFonts w:hint="eastAsia" w:ascii="仿宋" w:hAnsi="仿宋" w:eastAsia="仿宋" w:cs="仿宋"/>
                <w:kern w:val="0"/>
                <w:sz w:val="28"/>
                <w:szCs w:val="28"/>
              </w:rPr>
            </w:pPr>
          </w:p>
        </w:tc>
      </w:tr>
      <w:tr w14:paraId="6E87547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9776" w:type="dxa"/>
            <w:gridSpan w:val="4"/>
            <w:shd w:val="clear" w:color="auto" w:fill="auto"/>
            <w:vAlign w:val="center"/>
          </w:tcPr>
          <w:p w14:paraId="1C7B27D6">
            <w:pPr>
              <w:jc w:val="center"/>
              <w:rPr>
                <w:rFonts w:hint="eastAsia" w:ascii="仿宋" w:hAnsi="仿宋" w:eastAsia="仿宋" w:cs="仿宋"/>
                <w:kern w:val="0"/>
                <w:sz w:val="28"/>
                <w:szCs w:val="28"/>
              </w:rPr>
            </w:pPr>
            <w:r>
              <w:rPr>
                <w:rFonts w:hint="eastAsia" w:ascii="仿宋" w:hAnsi="仿宋" w:eastAsia="仿宋" w:cs="仿宋"/>
                <w:kern w:val="0"/>
                <w:sz w:val="28"/>
                <w:szCs w:val="28"/>
              </w:rPr>
              <w:t>案例3</w:t>
            </w:r>
          </w:p>
        </w:tc>
      </w:tr>
      <w:tr w14:paraId="3B381A3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shd w:val="clear" w:color="auto" w:fill="auto"/>
            <w:vAlign w:val="center"/>
          </w:tcPr>
          <w:p w14:paraId="7E06BE8A">
            <w:pPr>
              <w:jc w:val="center"/>
              <w:rPr>
                <w:rFonts w:hint="eastAsia" w:ascii="仿宋" w:hAnsi="仿宋" w:eastAsia="仿宋" w:cs="仿宋"/>
                <w:kern w:val="0"/>
                <w:sz w:val="28"/>
                <w:szCs w:val="28"/>
              </w:rPr>
            </w:pPr>
            <w:r>
              <w:rPr>
                <w:rFonts w:hint="eastAsia" w:ascii="仿宋" w:hAnsi="仿宋" w:eastAsia="仿宋" w:cs="仿宋"/>
                <w:kern w:val="0"/>
                <w:sz w:val="28"/>
                <w:szCs w:val="28"/>
              </w:rPr>
              <w:t>案例名称</w:t>
            </w:r>
          </w:p>
        </w:tc>
        <w:tc>
          <w:tcPr>
            <w:tcW w:w="7495" w:type="dxa"/>
            <w:gridSpan w:val="3"/>
            <w:shd w:val="clear" w:color="auto" w:fill="auto"/>
            <w:vAlign w:val="center"/>
          </w:tcPr>
          <w:p w14:paraId="5CA18D3A">
            <w:pPr>
              <w:jc w:val="center"/>
              <w:rPr>
                <w:rFonts w:hint="eastAsia" w:ascii="仿宋" w:hAnsi="仿宋" w:eastAsia="仿宋" w:cs="仿宋"/>
                <w:kern w:val="0"/>
                <w:sz w:val="28"/>
                <w:szCs w:val="28"/>
              </w:rPr>
            </w:pPr>
          </w:p>
        </w:tc>
      </w:tr>
      <w:tr w14:paraId="7EFDBC9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shd w:val="clear" w:color="auto" w:fill="auto"/>
            <w:vAlign w:val="center"/>
          </w:tcPr>
          <w:p w14:paraId="6A873667">
            <w:pPr>
              <w:snapToGrid w:val="0"/>
              <w:jc w:val="center"/>
              <w:rPr>
                <w:rFonts w:hint="eastAsia" w:ascii="仿宋" w:hAnsi="仿宋" w:eastAsia="仿宋" w:cs="仿宋"/>
                <w:kern w:val="0"/>
                <w:sz w:val="28"/>
                <w:szCs w:val="28"/>
              </w:rPr>
            </w:pPr>
            <w:r>
              <w:rPr>
                <w:rFonts w:hint="eastAsia" w:ascii="仿宋" w:hAnsi="仿宋" w:eastAsia="仿宋" w:cs="仿宋"/>
                <w:kern w:val="0"/>
                <w:sz w:val="28"/>
                <w:szCs w:val="28"/>
              </w:rPr>
              <w:t>申报方向</w:t>
            </w:r>
          </w:p>
          <w:p w14:paraId="07224875">
            <w:pPr>
              <w:snapToGrid w:val="0"/>
              <w:jc w:val="center"/>
              <w:rPr>
                <w:rFonts w:hint="eastAsia" w:ascii="仿宋" w:hAnsi="仿宋" w:eastAsia="仿宋" w:cs="仿宋"/>
                <w:kern w:val="0"/>
                <w:sz w:val="28"/>
                <w:szCs w:val="28"/>
              </w:rPr>
            </w:pPr>
            <w:r>
              <w:rPr>
                <w:rFonts w:hint="eastAsia" w:ascii="仿宋" w:hAnsi="仿宋" w:eastAsia="仿宋" w:cs="仿宋"/>
                <w:kern w:val="0"/>
                <w:szCs w:val="21"/>
              </w:rPr>
              <w:t>（每个案例对应1个）</w:t>
            </w:r>
          </w:p>
        </w:tc>
        <w:tc>
          <w:tcPr>
            <w:tcW w:w="7495" w:type="dxa"/>
            <w:gridSpan w:val="3"/>
            <w:shd w:val="clear" w:color="auto" w:fill="auto"/>
            <w:vAlign w:val="center"/>
          </w:tcPr>
          <w:p w14:paraId="4022580A">
            <w:pPr>
              <w:jc w:val="center"/>
              <w:rPr>
                <w:rFonts w:hint="eastAsia" w:ascii="仿宋" w:hAnsi="仿宋" w:eastAsia="仿宋" w:cs="仿宋"/>
                <w:kern w:val="0"/>
                <w:sz w:val="28"/>
                <w:szCs w:val="28"/>
              </w:rPr>
            </w:pPr>
          </w:p>
        </w:tc>
      </w:tr>
      <w:tr w14:paraId="1C87F75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shd w:val="clear" w:color="auto" w:fill="auto"/>
            <w:vAlign w:val="center"/>
          </w:tcPr>
          <w:p w14:paraId="6904EE0E">
            <w:pPr>
              <w:jc w:val="center"/>
              <w:rPr>
                <w:rFonts w:hint="eastAsia" w:ascii="仿宋" w:hAnsi="仿宋" w:eastAsia="仿宋" w:cs="仿宋"/>
                <w:kern w:val="0"/>
                <w:sz w:val="28"/>
                <w:szCs w:val="28"/>
              </w:rPr>
            </w:pPr>
            <w:r>
              <w:rPr>
                <w:rFonts w:hint="eastAsia" w:ascii="仿宋" w:hAnsi="仿宋" w:eastAsia="仿宋" w:cs="仿宋"/>
                <w:kern w:val="0"/>
                <w:sz w:val="28"/>
                <w:szCs w:val="28"/>
              </w:rPr>
              <w:t>申报形式</w:t>
            </w:r>
          </w:p>
        </w:tc>
        <w:tc>
          <w:tcPr>
            <w:tcW w:w="7495" w:type="dxa"/>
            <w:gridSpan w:val="3"/>
            <w:shd w:val="clear" w:color="auto" w:fill="auto"/>
            <w:vAlign w:val="center"/>
          </w:tcPr>
          <w:p w14:paraId="390D6A33">
            <w:pPr>
              <w:snapToGrid w:val="0"/>
              <w:jc w:val="left"/>
              <w:rPr>
                <w:rFonts w:hint="eastAsia" w:ascii="仿宋" w:hAnsi="仿宋" w:eastAsia="仿宋" w:cs="仿宋"/>
                <w:kern w:val="0"/>
                <w:sz w:val="28"/>
                <w:szCs w:val="28"/>
              </w:rPr>
            </w:pPr>
            <w:r>
              <w:rPr>
                <w:rFonts w:hint="eastAsia" w:ascii="仿宋" w:hAnsi="仿宋" w:eastAsia="仿宋" w:cs="仿宋"/>
                <w:kern w:val="0"/>
                <w:sz w:val="28"/>
                <w:szCs w:val="28"/>
              </w:rPr>
              <w:t>□ 仅文字    □ 仅视频    □ 文字与视频结合</w:t>
            </w:r>
          </w:p>
        </w:tc>
      </w:tr>
      <w:tr w14:paraId="3827565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48" w:hRule="atLeast"/>
          <w:jc w:val="center"/>
        </w:trPr>
        <w:tc>
          <w:tcPr>
            <w:tcW w:w="2281" w:type="dxa"/>
            <w:shd w:val="clear" w:color="auto" w:fill="auto"/>
            <w:vAlign w:val="center"/>
          </w:tcPr>
          <w:p w14:paraId="21D9C75A">
            <w:pPr>
              <w:snapToGrid w:val="0"/>
              <w:jc w:val="center"/>
              <w:rPr>
                <w:rFonts w:hint="eastAsia" w:ascii="仿宋" w:hAnsi="仿宋" w:eastAsia="仿宋" w:cs="仿宋"/>
                <w:kern w:val="0"/>
                <w:sz w:val="28"/>
                <w:szCs w:val="28"/>
              </w:rPr>
            </w:pPr>
            <w:r>
              <w:rPr>
                <w:rFonts w:hint="eastAsia" w:ascii="仿宋" w:hAnsi="仿宋" w:eastAsia="仿宋" w:cs="仿宋"/>
                <w:kern w:val="0"/>
                <w:sz w:val="28"/>
                <w:szCs w:val="28"/>
              </w:rPr>
              <w:t>视频下载链接（如有）</w:t>
            </w:r>
          </w:p>
        </w:tc>
        <w:tc>
          <w:tcPr>
            <w:tcW w:w="7495" w:type="dxa"/>
            <w:gridSpan w:val="3"/>
            <w:shd w:val="clear" w:color="auto" w:fill="auto"/>
            <w:vAlign w:val="center"/>
          </w:tcPr>
          <w:p w14:paraId="1472221D">
            <w:pPr>
              <w:jc w:val="center"/>
              <w:rPr>
                <w:rFonts w:hint="eastAsia" w:ascii="仿宋" w:hAnsi="仿宋" w:eastAsia="仿宋" w:cs="仿宋"/>
                <w:kern w:val="0"/>
                <w:sz w:val="28"/>
                <w:szCs w:val="28"/>
              </w:rPr>
            </w:pPr>
          </w:p>
        </w:tc>
      </w:tr>
      <w:bookmarkEnd w:id="6"/>
      <w:bookmarkEnd w:id="7"/>
      <w:bookmarkEnd w:id="8"/>
    </w:tbl>
    <w:p w14:paraId="77DA4075">
      <w:pPr>
        <w:pStyle w:val="3"/>
        <w:shd w:val="clear" w:color="auto" w:fill="FFFFFF"/>
        <w:snapToGrid w:val="0"/>
        <w:spacing w:before="0" w:beforeAutospacing="0" w:after="0" w:afterAutospacing="0"/>
        <w:ind w:firstLine="578"/>
        <w:jc w:val="both"/>
        <w:rPr>
          <w:rFonts w:hint="eastAsia" w:ascii="仿宋" w:hAnsi="仿宋" w:eastAsia="仿宋" w:cs="仿宋"/>
          <w:color w:val="333333"/>
          <w:spacing w:val="-6"/>
          <w:sz w:val="28"/>
          <w:szCs w:val="28"/>
          <w:shd w:val="clear" w:color="auto" w:fill="FFFFFF"/>
        </w:rPr>
      </w:pPr>
      <w:r>
        <w:rPr>
          <w:rFonts w:hint="eastAsia" w:ascii="仿宋" w:hAnsi="仿宋" w:eastAsia="仿宋" w:cs="仿宋"/>
          <w:color w:val="333333"/>
          <w:spacing w:val="-6"/>
          <w:sz w:val="28"/>
          <w:szCs w:val="28"/>
          <w:shd w:val="clear" w:color="auto" w:fill="FFFFFF"/>
        </w:rPr>
        <w:t>*申报方向：（一）管理体系与制度创新；（二）供应链与源头管控创新；（三）生产与加工环节创新；（四）流通与销售环节创新；（五）社会价值与公益项目。</w:t>
      </w:r>
    </w:p>
    <w:p w14:paraId="7A86BD5C">
      <w:pPr>
        <w:spacing w:line="360" w:lineRule="auto"/>
        <w:jc w:val="both"/>
        <w:rPr>
          <w:rFonts w:hint="eastAsia" w:ascii="仿宋" w:hAnsi="仿宋" w:eastAsia="仿宋" w:cs="仿宋"/>
          <w:b/>
          <w:sz w:val="36"/>
          <w:szCs w:val="36"/>
        </w:rPr>
      </w:pPr>
    </w:p>
    <w:p w14:paraId="34B33ECA">
      <w:pPr>
        <w:keepNext w:val="0"/>
        <w:keepLines w:val="0"/>
        <w:pageBreakBefore w:val="0"/>
        <w:kinsoku/>
        <w:wordWrap/>
        <w:overflowPunct/>
        <w:topLinePunct w:val="0"/>
        <w:autoSpaceDE/>
        <w:autoSpaceDN/>
        <w:bidi w:val="0"/>
        <w:adjustRightInd/>
        <w:spacing w:line="300" w:lineRule="auto"/>
        <w:jc w:val="left"/>
        <w:textAlignment w:val="auto"/>
        <w:rPr>
          <w:rFonts w:hint="eastAsia" w:ascii="仿宋" w:hAnsi="仿宋" w:eastAsia="仿宋" w:cs="仿宋"/>
          <w:bCs/>
          <w:sz w:val="30"/>
          <w:szCs w:val="30"/>
        </w:rPr>
      </w:pPr>
      <w:r>
        <w:rPr>
          <w:rFonts w:hint="eastAsia" w:ascii="仿宋" w:hAnsi="仿宋" w:eastAsia="仿宋" w:cs="仿宋"/>
          <w:b/>
          <w:sz w:val="30"/>
          <w:szCs w:val="30"/>
        </w:rPr>
        <w:t>附件2：</w:t>
      </w:r>
    </w:p>
    <w:p w14:paraId="321D4C31">
      <w:pPr>
        <w:keepNext w:val="0"/>
        <w:keepLines w:val="0"/>
        <w:pageBreakBefore w:val="0"/>
        <w:kinsoku/>
        <w:wordWrap/>
        <w:overflowPunct/>
        <w:topLinePunct w:val="0"/>
        <w:autoSpaceDE/>
        <w:autoSpaceDN/>
        <w:bidi w:val="0"/>
        <w:adjustRightInd/>
        <w:spacing w:line="300" w:lineRule="auto"/>
        <w:jc w:val="center"/>
        <w:textAlignment w:val="auto"/>
        <w:rPr>
          <w:rFonts w:hint="eastAsia" w:ascii="仿宋" w:hAnsi="仿宋" w:eastAsia="仿宋" w:cs="仿宋"/>
          <w:b/>
          <w:sz w:val="36"/>
          <w:szCs w:val="36"/>
        </w:rPr>
      </w:pPr>
      <w:r>
        <w:rPr>
          <w:rFonts w:hint="eastAsia" w:ascii="仿宋" w:hAnsi="仿宋" w:eastAsia="仿宋" w:cs="仿宋"/>
          <w:b/>
          <w:sz w:val="36"/>
          <w:szCs w:val="36"/>
        </w:rPr>
        <w:t>案例编写</w:t>
      </w:r>
    </w:p>
    <w:p w14:paraId="5F6EED05">
      <w:pPr>
        <w:keepNext w:val="0"/>
        <w:keepLines w:val="0"/>
        <w:pageBreakBefore w:val="0"/>
        <w:kinsoku/>
        <w:wordWrap/>
        <w:overflowPunct/>
        <w:topLinePunct w:val="0"/>
        <w:autoSpaceDE/>
        <w:autoSpaceDN/>
        <w:bidi w:val="0"/>
        <w:adjustRightInd/>
        <w:spacing w:line="300" w:lineRule="auto"/>
        <w:jc w:val="center"/>
        <w:textAlignment w:val="auto"/>
        <w:rPr>
          <w:rFonts w:hint="eastAsia" w:ascii="仿宋" w:hAnsi="仿宋" w:eastAsia="仿宋" w:cs="仿宋"/>
          <w:sz w:val="30"/>
          <w:szCs w:val="30"/>
        </w:rPr>
      </w:pPr>
      <w:r>
        <w:rPr>
          <w:rFonts w:hint="eastAsia" w:ascii="仿宋" w:hAnsi="仿宋" w:eastAsia="仿宋" w:cs="仿宋"/>
          <w:b/>
          <w:sz w:val="28"/>
          <w:szCs w:val="28"/>
          <w:lang w:val="en-US" w:eastAsia="zh-CN"/>
        </w:rPr>
        <w:t>-从“被动应对”到“主动防控”，标品异物治理项目的升级与突破</w:t>
      </w:r>
    </w:p>
    <w:p w14:paraId="314F14E1">
      <w:pPr>
        <w:pStyle w:val="3"/>
        <w:keepNext w:val="0"/>
        <w:keepLines w:val="0"/>
        <w:pageBreakBefore w:val="0"/>
        <w:widowControl/>
        <w:numPr>
          <w:ilvl w:val="0"/>
          <w:numId w:val="1"/>
        </w:numPr>
        <w:shd w:val="clear" w:color="auto" w:fill="FFFFFF"/>
        <w:kinsoku/>
        <w:wordWrap/>
        <w:overflowPunct/>
        <w:topLinePunct w:val="0"/>
        <w:autoSpaceDE/>
        <w:autoSpaceDN/>
        <w:bidi w:val="0"/>
        <w:adjustRightInd/>
        <w:snapToGrid/>
        <w:spacing w:before="157" w:beforeLines="50" w:beforeAutospacing="0" w:after="0" w:afterAutospacing="0" w:line="594" w:lineRule="atLeast"/>
        <w:ind w:firstLine="578"/>
        <w:jc w:val="both"/>
        <w:textAlignment w:val="auto"/>
        <w:rPr>
          <w:rFonts w:hint="eastAsia" w:ascii="仿宋" w:hAnsi="仿宋" w:eastAsia="仿宋" w:cs="仿宋"/>
          <w:b/>
          <w:bCs/>
          <w:color w:val="333333"/>
          <w:spacing w:val="-6"/>
          <w:sz w:val="28"/>
          <w:szCs w:val="28"/>
          <w:shd w:val="clear" w:color="auto" w:fill="FFFFFF"/>
        </w:rPr>
      </w:pPr>
      <w:r>
        <w:rPr>
          <w:rFonts w:hint="eastAsia" w:ascii="仿宋" w:hAnsi="仿宋" w:eastAsia="仿宋" w:cs="仿宋"/>
          <w:b/>
          <w:bCs/>
          <w:color w:val="333333"/>
          <w:spacing w:val="-6"/>
          <w:sz w:val="28"/>
          <w:szCs w:val="28"/>
          <w:shd w:val="clear" w:color="auto" w:fill="FFFFFF"/>
        </w:rPr>
        <w:t>案例背景</w:t>
      </w:r>
    </w:p>
    <w:p w14:paraId="28BDBC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333333"/>
          <w:spacing w:val="-6"/>
          <w:sz w:val="28"/>
          <w:szCs w:val="28"/>
          <w:shd w:val="clear" w:color="auto" w:fill="FFFFFF"/>
        </w:rPr>
      </w:pPr>
      <w:r>
        <w:rPr>
          <w:rFonts w:ascii="仿宋" w:hAnsi="仿宋"/>
          <w:color w:val="0000FF"/>
          <w:sz w:val="24"/>
        </w:rPr>
        <w:t>随着消费者对食品安全要求的不断提高，异物投诉已成为影响企业品牌信誉与客户满意度的重要因素。2024年，明康汇社区便利店异物投诉频发，严重影响了消费者体验与企业质量形象。异物类型涵盖毛发、虫害、塑料等，多集中于豆制品、烘焙、米面制品。</w:t>
      </w:r>
    </w:p>
    <w:p w14:paraId="567D93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color w:val="333333"/>
          <w:spacing w:val="-6"/>
          <w:sz w:val="28"/>
          <w:szCs w:val="28"/>
          <w:shd w:val="clear" w:color="auto" w:fill="FFFFFF"/>
        </w:rPr>
      </w:pPr>
      <w:bookmarkStart w:id="9" w:name="_GoBack"/>
      <w:bookmarkEnd w:id="9"/>
      <w:r>
        <w:rPr>
          <w:rFonts w:ascii="仿宋" w:hAnsi="仿宋"/>
          <w:color w:val="0000FF"/>
          <w:sz w:val="24"/>
        </w:rPr>
        <w:t>为此，明康汇食品安全管理部联合标品采销部、供应商管理部启动为期一年的“标品异物治理项目”，设定全年异物客诉率≤3.5ppm的管控目标，旨在系统性提升供应商异物管控能力，建立健全长效管理机制，保障产品质量与食品安全，支撑企业高质量发展战略。</w:t>
      </w:r>
    </w:p>
    <w:p w14:paraId="647FD6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2025年季度和月度异物客诉目标拆解比例如下：</w:t>
      </w:r>
    </w:p>
    <w:p w14:paraId="7D4DE07B">
      <w:pPr>
        <w:pStyle w:val="3"/>
        <w:shd w:val="clear" w:color="auto" w:fill="FFFFFF"/>
        <w:snapToGrid w:val="0"/>
        <w:spacing w:before="0" w:beforeAutospacing="0" w:after="0" w:afterAutospacing="0"/>
        <w:ind w:firstLine="578"/>
        <w:jc w:val="center"/>
        <w:rPr>
          <w:rFonts w:hint="eastAsia" w:ascii="仿宋" w:hAnsi="仿宋" w:eastAsia="仿宋" w:cs="仿宋"/>
          <w:color w:val="333333"/>
          <w:spacing w:val="-6"/>
          <w:sz w:val="28"/>
          <w:szCs w:val="28"/>
          <w:shd w:val="clear" w:color="auto" w:fill="FFFFFF"/>
          <w:lang w:val="en-US" w:eastAsia="zh-CN"/>
        </w:rPr>
      </w:pPr>
    </w:p>
    <w:tbl>
      <w:tblPr>
        <w:tblStyle w:val="4"/>
        <w:tblW w:w="479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079"/>
        <w:gridCol w:w="680"/>
        <w:gridCol w:w="680"/>
        <w:gridCol w:w="680"/>
        <w:gridCol w:w="680"/>
      </w:tblGrid>
      <w:tr w14:paraId="75E6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jc w:val="center"/>
        </w:trPr>
        <w:tc>
          <w:tcPr>
            <w:tcW w:w="2079"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5D54EFD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季度</w:t>
            </w:r>
          </w:p>
        </w:tc>
        <w:tc>
          <w:tcPr>
            <w:tcW w:w="680"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152D613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Q1</w:t>
            </w:r>
          </w:p>
        </w:tc>
        <w:tc>
          <w:tcPr>
            <w:tcW w:w="680"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0484EA1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Q2</w:t>
            </w:r>
          </w:p>
        </w:tc>
        <w:tc>
          <w:tcPr>
            <w:tcW w:w="680"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4280B04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Q3</w:t>
            </w:r>
          </w:p>
        </w:tc>
        <w:tc>
          <w:tcPr>
            <w:tcW w:w="680"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4BD819E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Q4</w:t>
            </w:r>
          </w:p>
        </w:tc>
      </w:tr>
      <w:tr w14:paraId="48FB0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jc w:val="center"/>
        </w:trPr>
        <w:tc>
          <w:tcPr>
            <w:tcW w:w="2079"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F1FF7B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lang w:val="en-US"/>
              </w:rPr>
            </w:pPr>
            <w:r>
              <w:rPr>
                <w:rFonts w:hint="eastAsia" w:ascii="仿宋" w:hAnsi="仿宋" w:eastAsia="仿宋" w:cs="仿宋"/>
                <w:kern w:val="0"/>
                <w:sz w:val="24"/>
                <w:szCs w:val="24"/>
                <w:lang w:val="en-US" w:eastAsia="zh-CN" w:bidi="ar"/>
              </w:rPr>
              <w:t>目标/ppm</w:t>
            </w:r>
          </w:p>
        </w:tc>
        <w:tc>
          <w:tcPr>
            <w:tcW w:w="68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B3EC73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3.9</w:t>
            </w:r>
          </w:p>
        </w:tc>
        <w:tc>
          <w:tcPr>
            <w:tcW w:w="68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5F2E82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3.2</w:t>
            </w:r>
          </w:p>
        </w:tc>
        <w:tc>
          <w:tcPr>
            <w:tcW w:w="68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6653EE3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4.0</w:t>
            </w:r>
          </w:p>
        </w:tc>
        <w:tc>
          <w:tcPr>
            <w:tcW w:w="680"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050596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3.5</w:t>
            </w:r>
          </w:p>
        </w:tc>
      </w:tr>
    </w:tbl>
    <w:p w14:paraId="72128D1D">
      <w:pPr>
        <w:pStyle w:val="3"/>
        <w:shd w:val="clear" w:color="auto" w:fill="FFFFFF"/>
        <w:snapToGrid w:val="0"/>
        <w:spacing w:before="0" w:beforeAutospacing="0" w:after="0" w:afterAutospacing="0"/>
        <w:ind w:firstLine="578"/>
        <w:jc w:val="center"/>
        <w:rPr>
          <w:rFonts w:hint="eastAsia" w:ascii="仿宋" w:hAnsi="仿宋" w:eastAsia="仿宋" w:cs="仿宋"/>
          <w:color w:val="333333"/>
          <w:spacing w:val="-6"/>
          <w:sz w:val="24"/>
          <w:szCs w:val="24"/>
          <w:shd w:val="clear" w:color="auto" w:fill="FFFFFF"/>
        </w:rPr>
      </w:pPr>
    </w:p>
    <w:tbl>
      <w:tblPr>
        <w:tblStyle w:val="4"/>
        <w:tblW w:w="907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591"/>
        <w:gridCol w:w="624"/>
        <w:gridCol w:w="624"/>
        <w:gridCol w:w="624"/>
        <w:gridCol w:w="624"/>
        <w:gridCol w:w="624"/>
        <w:gridCol w:w="624"/>
        <w:gridCol w:w="624"/>
        <w:gridCol w:w="624"/>
        <w:gridCol w:w="624"/>
        <w:gridCol w:w="624"/>
        <w:gridCol w:w="624"/>
        <w:gridCol w:w="624"/>
      </w:tblGrid>
      <w:tr w14:paraId="6A528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blHeader/>
          <w:jc w:val="center"/>
        </w:trPr>
        <w:tc>
          <w:tcPr>
            <w:tcW w:w="1591"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6C2DA8A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月份</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1D58B41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1</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071BB0A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2</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680FFBF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24E5692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4</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125D9F9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5</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4690978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6</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0602C22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7</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54157FE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8</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39C78D5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9</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48B8AFA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10</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7A720BC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11</w:t>
            </w:r>
          </w:p>
        </w:tc>
        <w:tc>
          <w:tcPr>
            <w:tcW w:w="624" w:type="dxa"/>
            <w:tcBorders>
              <w:top w:val="single" w:color="DEE0E3" w:sz="4" w:space="0"/>
              <w:left w:val="single" w:color="DEE0E3" w:sz="4" w:space="0"/>
              <w:bottom w:val="single" w:color="DEE0E3" w:sz="4" w:space="0"/>
              <w:right w:val="single" w:color="DEE0E3" w:sz="4" w:space="0"/>
            </w:tcBorders>
            <w:shd w:val="clear" w:color="auto" w:fill="F2F3F5"/>
            <w:tcMar>
              <w:top w:w="96" w:type="dxa"/>
              <w:left w:w="96" w:type="dxa"/>
              <w:bottom w:w="96" w:type="dxa"/>
              <w:right w:w="96" w:type="dxa"/>
            </w:tcMar>
            <w:vAlign w:val="top"/>
          </w:tcPr>
          <w:p w14:paraId="10B061F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12</w:t>
            </w:r>
          </w:p>
        </w:tc>
      </w:tr>
      <w:tr w14:paraId="7F33D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jc w:val="center"/>
        </w:trPr>
        <w:tc>
          <w:tcPr>
            <w:tcW w:w="1591"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4FAF06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lang w:val="en-US"/>
              </w:rPr>
            </w:pPr>
            <w:r>
              <w:rPr>
                <w:rFonts w:hint="eastAsia" w:ascii="仿宋" w:hAnsi="仿宋" w:eastAsia="仿宋" w:cs="仿宋"/>
                <w:kern w:val="0"/>
                <w:sz w:val="24"/>
                <w:szCs w:val="24"/>
                <w:lang w:val="en-US" w:eastAsia="zh-CN" w:bidi="ar"/>
              </w:rPr>
              <w:t>目标/ppm</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7FD29D6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4.0</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129E0E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3.2</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7E0E26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3.2</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342C74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3.1</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C74782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3.3</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4A9889B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3.5</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52AC5FF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3.7</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74898D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3.8</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1A669D4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4.3</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3A48513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4.0</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076D13B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3.3</w:t>
            </w:r>
          </w:p>
        </w:tc>
        <w:tc>
          <w:tcPr>
            <w:tcW w:w="62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top"/>
          </w:tcPr>
          <w:p w14:paraId="219A1E6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3.2</w:t>
            </w:r>
          </w:p>
        </w:tc>
      </w:tr>
    </w:tbl>
    <w:p w14:paraId="3074CEA7">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仿宋" w:hAnsi="仿宋" w:eastAsia="仿宋" w:cs="仿宋"/>
          <w:sz w:val="24"/>
          <w:szCs w:val="24"/>
          <w:lang w:val="en-US" w:eastAsia="zh-CN"/>
        </w:rPr>
      </w:pPr>
    </w:p>
    <w:p w14:paraId="78A939E9">
      <w:pPr>
        <w:keepNext w:val="0"/>
        <w:keepLines w:val="0"/>
        <w:pageBreakBefore w:val="0"/>
        <w:widowControl w:val="0"/>
        <w:kinsoku/>
        <w:wordWrap/>
        <w:overflowPunct/>
        <w:topLinePunct w:val="0"/>
        <w:autoSpaceDE/>
        <w:autoSpaceDN/>
        <w:bidi w:val="0"/>
        <w:adjustRightInd/>
        <w:snapToGrid/>
        <w:spacing w:after="157" w:afterLines="50"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项目分工如下：</w:t>
      </w:r>
    </w:p>
    <w:tbl>
      <w:tblPr>
        <w:tblStyle w:val="4"/>
        <w:tblW w:w="9072" w:type="dxa"/>
        <w:tblInd w:w="20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0"/>
        <w:gridCol w:w="2078"/>
        <w:gridCol w:w="6334"/>
      </w:tblGrid>
      <w:tr w14:paraId="7D66F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2738" w:type="dxa"/>
            <w:gridSpan w:val="2"/>
            <w:tcBorders>
              <w:top w:val="single" w:color="DEE0E3" w:sz="4" w:space="0"/>
              <w:left w:val="single" w:color="DEE0E3" w:sz="4" w:space="0"/>
              <w:bottom w:val="single" w:color="DEE0E3" w:sz="4" w:space="0"/>
              <w:right w:val="single" w:color="DEE0E3" w:sz="4" w:space="0"/>
            </w:tcBorders>
            <w:shd w:val="clear" w:color="auto" w:fill="EFF0F1"/>
            <w:tcMar>
              <w:top w:w="96" w:type="dxa"/>
              <w:left w:w="96" w:type="dxa"/>
              <w:bottom w:w="96" w:type="dxa"/>
              <w:right w:w="96" w:type="dxa"/>
            </w:tcMar>
            <w:vAlign w:val="center"/>
          </w:tcPr>
          <w:p w14:paraId="44FBD83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rFonts w:hint="eastAsia" w:ascii="仿宋" w:hAnsi="仿宋" w:eastAsia="仿宋" w:cs="仿宋"/>
                <w:b w:val="0"/>
                <w:bCs/>
                <w:sz w:val="24"/>
                <w:szCs w:val="24"/>
              </w:rPr>
            </w:pPr>
            <w:r>
              <w:rPr>
                <w:rStyle w:val="7"/>
                <w:rFonts w:hint="eastAsia" w:ascii="仿宋" w:hAnsi="仿宋" w:eastAsia="仿宋" w:cs="仿宋"/>
                <w:b w:val="0"/>
                <w:bCs/>
                <w:kern w:val="0"/>
                <w:sz w:val="24"/>
                <w:szCs w:val="24"/>
                <w:lang w:val="en-US" w:eastAsia="zh-CN" w:bidi="ar"/>
              </w:rPr>
              <w:t>决策委员会</w:t>
            </w:r>
          </w:p>
        </w:tc>
        <w:tc>
          <w:tcPr>
            <w:tcW w:w="633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247FB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负责项目阶段的评审，对需要决议的事项作决策。</w:t>
            </w:r>
          </w:p>
        </w:tc>
      </w:tr>
      <w:tr w14:paraId="429C2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8" w:hRule="atLeast"/>
        </w:trPr>
        <w:tc>
          <w:tcPr>
            <w:tcW w:w="2738" w:type="dxa"/>
            <w:gridSpan w:val="2"/>
            <w:tcBorders>
              <w:top w:val="single" w:color="DEE0E3" w:sz="4" w:space="0"/>
              <w:left w:val="single" w:color="DEE0E3" w:sz="4" w:space="0"/>
              <w:bottom w:val="single" w:color="DEE0E3" w:sz="4" w:space="0"/>
              <w:right w:val="single" w:color="DEE0E3" w:sz="4" w:space="0"/>
            </w:tcBorders>
            <w:shd w:val="clear" w:color="auto" w:fill="EFF0F1"/>
            <w:tcMar>
              <w:top w:w="96" w:type="dxa"/>
              <w:left w:w="96" w:type="dxa"/>
              <w:bottom w:w="96" w:type="dxa"/>
              <w:right w:w="96" w:type="dxa"/>
            </w:tcMar>
            <w:vAlign w:val="center"/>
          </w:tcPr>
          <w:p w14:paraId="40CEC53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rFonts w:hint="eastAsia" w:ascii="仿宋" w:hAnsi="仿宋" w:eastAsia="仿宋" w:cs="仿宋"/>
                <w:b w:val="0"/>
                <w:bCs/>
                <w:sz w:val="24"/>
                <w:szCs w:val="24"/>
                <w:lang w:val="en-US"/>
              </w:rPr>
            </w:pPr>
            <w:r>
              <w:rPr>
                <w:rStyle w:val="7"/>
                <w:rFonts w:hint="eastAsia" w:ascii="仿宋" w:hAnsi="仿宋" w:eastAsia="仿宋" w:cs="仿宋"/>
                <w:b w:val="0"/>
                <w:bCs/>
                <w:kern w:val="0"/>
                <w:sz w:val="24"/>
                <w:szCs w:val="24"/>
                <w:lang w:val="en-US" w:eastAsia="zh-CN" w:bidi="ar"/>
              </w:rPr>
              <w:t>项目组长</w:t>
            </w:r>
          </w:p>
        </w:tc>
        <w:tc>
          <w:tcPr>
            <w:tcW w:w="633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15CF9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负责项目阶段方案的制定，推动项目开展。</w:t>
            </w:r>
          </w:p>
        </w:tc>
      </w:tr>
      <w:tr w14:paraId="23AE9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60" w:type="dxa"/>
            <w:vMerge w:val="restart"/>
            <w:tcBorders>
              <w:top w:val="single" w:color="DEE0E3" w:sz="4" w:space="0"/>
              <w:left w:val="single" w:color="DEE0E3" w:sz="4" w:space="0"/>
              <w:bottom w:val="single" w:color="DEE0E3" w:sz="4" w:space="0"/>
              <w:right w:val="single" w:color="DEE0E3" w:sz="4" w:space="0"/>
            </w:tcBorders>
            <w:shd w:val="clear" w:color="auto" w:fill="EFF0F1"/>
            <w:tcMar>
              <w:top w:w="96" w:type="dxa"/>
              <w:left w:w="96" w:type="dxa"/>
              <w:bottom w:w="96" w:type="dxa"/>
              <w:right w:w="96" w:type="dxa"/>
            </w:tcMar>
            <w:vAlign w:val="center"/>
          </w:tcPr>
          <w:p w14:paraId="016020C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rFonts w:hint="eastAsia" w:ascii="仿宋" w:hAnsi="仿宋" w:eastAsia="仿宋" w:cs="仿宋"/>
                <w:b w:val="0"/>
                <w:bCs/>
                <w:sz w:val="24"/>
                <w:szCs w:val="24"/>
              </w:rPr>
            </w:pPr>
            <w:r>
              <w:rPr>
                <w:rStyle w:val="7"/>
                <w:rFonts w:hint="eastAsia" w:ascii="仿宋" w:hAnsi="仿宋" w:eastAsia="仿宋" w:cs="仿宋"/>
                <w:b w:val="0"/>
                <w:bCs/>
                <w:kern w:val="0"/>
                <w:sz w:val="24"/>
                <w:szCs w:val="24"/>
                <w:lang w:val="en-US" w:eastAsia="zh-CN" w:bidi="ar"/>
              </w:rPr>
              <w:t>项目成员</w:t>
            </w:r>
          </w:p>
        </w:tc>
        <w:tc>
          <w:tcPr>
            <w:tcW w:w="2078" w:type="dxa"/>
            <w:tcBorders>
              <w:top w:val="single" w:color="DEE0E3" w:sz="4" w:space="0"/>
              <w:left w:val="single" w:color="DEE0E3" w:sz="4" w:space="0"/>
              <w:bottom w:val="single" w:color="DEE0E3" w:sz="4" w:space="0"/>
              <w:right w:val="single" w:color="DEE0E3" w:sz="4" w:space="0"/>
            </w:tcBorders>
            <w:shd w:val="clear" w:color="auto" w:fill="EFF0F1"/>
            <w:tcMar>
              <w:top w:w="96" w:type="dxa"/>
              <w:left w:w="96" w:type="dxa"/>
              <w:bottom w:w="96" w:type="dxa"/>
              <w:right w:w="96" w:type="dxa"/>
            </w:tcMar>
            <w:vAlign w:val="center"/>
          </w:tcPr>
          <w:p w14:paraId="14960EC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rFonts w:hint="eastAsia" w:ascii="仿宋" w:hAnsi="仿宋" w:eastAsia="仿宋" w:cs="仿宋"/>
                <w:b w:val="0"/>
                <w:bCs/>
                <w:sz w:val="24"/>
                <w:szCs w:val="24"/>
                <w:lang w:val="en-US"/>
              </w:rPr>
            </w:pPr>
            <w:r>
              <w:rPr>
                <w:rStyle w:val="7"/>
                <w:rFonts w:hint="eastAsia" w:ascii="仿宋" w:hAnsi="仿宋" w:eastAsia="仿宋" w:cs="仿宋"/>
                <w:b w:val="0"/>
                <w:bCs/>
                <w:kern w:val="0"/>
                <w:sz w:val="24"/>
                <w:szCs w:val="24"/>
                <w:lang w:val="en-US" w:eastAsia="zh-CN" w:bidi="ar"/>
              </w:rPr>
              <w:t>标品采销部</w:t>
            </w:r>
          </w:p>
        </w:tc>
        <w:tc>
          <w:tcPr>
            <w:tcW w:w="633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560C4D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负责质量异物专项任务、质量异物客诉整改纠偏、审核项目整改邮件的下发与回执的收集。</w:t>
            </w:r>
          </w:p>
        </w:tc>
      </w:tr>
      <w:tr w14:paraId="05773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660" w:type="dxa"/>
            <w:vMerge w:val="continue"/>
            <w:tcBorders>
              <w:top w:val="single" w:color="DEE0E3" w:sz="4" w:space="0"/>
              <w:left w:val="single" w:color="DEE0E3" w:sz="4" w:space="0"/>
              <w:bottom w:val="single" w:color="DEE0E3" w:sz="4" w:space="0"/>
              <w:right w:val="single" w:color="DEE0E3" w:sz="4" w:space="0"/>
            </w:tcBorders>
            <w:shd w:val="clear" w:color="auto" w:fill="EFF0F1"/>
            <w:tcMar>
              <w:top w:w="96" w:type="dxa"/>
              <w:left w:w="96" w:type="dxa"/>
              <w:bottom w:w="96" w:type="dxa"/>
              <w:right w:w="96" w:type="dxa"/>
            </w:tcMar>
            <w:vAlign w:val="center"/>
          </w:tcPr>
          <w:p w14:paraId="31CB517A">
            <w:pPr>
              <w:jc w:val="center"/>
              <w:rPr>
                <w:rFonts w:hint="eastAsia" w:ascii="仿宋" w:hAnsi="仿宋" w:eastAsia="仿宋" w:cs="仿宋"/>
                <w:b w:val="0"/>
                <w:bCs/>
                <w:sz w:val="24"/>
                <w:szCs w:val="24"/>
              </w:rPr>
            </w:pPr>
          </w:p>
        </w:tc>
        <w:tc>
          <w:tcPr>
            <w:tcW w:w="2078" w:type="dxa"/>
            <w:tcBorders>
              <w:top w:val="single" w:color="DEE0E3" w:sz="4" w:space="0"/>
              <w:left w:val="single" w:color="DEE0E3" w:sz="4" w:space="0"/>
              <w:bottom w:val="single" w:color="DEE0E3" w:sz="4" w:space="0"/>
              <w:right w:val="single" w:color="DEE0E3" w:sz="4" w:space="0"/>
            </w:tcBorders>
            <w:shd w:val="clear" w:color="auto" w:fill="EFF0F1"/>
            <w:tcMar>
              <w:top w:w="96" w:type="dxa"/>
              <w:left w:w="96" w:type="dxa"/>
              <w:bottom w:w="96" w:type="dxa"/>
              <w:right w:w="96" w:type="dxa"/>
            </w:tcMar>
            <w:vAlign w:val="center"/>
          </w:tcPr>
          <w:p w14:paraId="47AABAB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center"/>
              <w:rPr>
                <w:rFonts w:hint="eastAsia" w:ascii="仿宋" w:hAnsi="仿宋" w:eastAsia="仿宋" w:cs="仿宋"/>
                <w:b w:val="0"/>
                <w:bCs/>
                <w:sz w:val="24"/>
                <w:szCs w:val="24"/>
                <w:lang w:val="en-US"/>
              </w:rPr>
            </w:pPr>
            <w:r>
              <w:rPr>
                <w:rStyle w:val="7"/>
                <w:rFonts w:hint="eastAsia" w:ascii="仿宋" w:hAnsi="仿宋" w:eastAsia="仿宋" w:cs="仿宋"/>
                <w:b w:val="0"/>
                <w:bCs/>
                <w:kern w:val="0"/>
                <w:sz w:val="24"/>
                <w:szCs w:val="24"/>
                <w:lang w:val="en-US" w:eastAsia="zh-CN" w:bidi="ar"/>
              </w:rPr>
              <w:t>供应商管理部</w:t>
            </w:r>
          </w:p>
        </w:tc>
        <w:tc>
          <w:tcPr>
            <w:tcW w:w="6334" w:type="dxa"/>
            <w:tcBorders>
              <w:top w:val="single" w:color="DEE0E3" w:sz="4" w:space="0"/>
              <w:left w:val="single" w:color="DEE0E3" w:sz="4" w:space="0"/>
              <w:bottom w:val="single" w:color="DEE0E3" w:sz="4" w:space="0"/>
              <w:right w:val="single" w:color="DEE0E3" w:sz="4" w:space="0"/>
            </w:tcBorders>
            <w:shd w:val="clear" w:color="auto" w:fill="auto"/>
            <w:tcMar>
              <w:top w:w="96" w:type="dxa"/>
              <w:left w:w="96" w:type="dxa"/>
              <w:bottom w:w="96" w:type="dxa"/>
              <w:right w:w="96" w:type="dxa"/>
            </w:tcMar>
            <w:vAlign w:val="center"/>
          </w:tcPr>
          <w:p w14:paraId="2A6729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hint="eastAsia" w:ascii="仿宋" w:hAnsi="仿宋" w:eastAsia="仿宋" w:cs="仿宋"/>
                <w:sz w:val="24"/>
                <w:szCs w:val="24"/>
              </w:rPr>
            </w:pPr>
            <w:r>
              <w:rPr>
                <w:rFonts w:hint="eastAsia" w:ascii="仿宋" w:hAnsi="仿宋" w:eastAsia="仿宋" w:cs="仿宋"/>
                <w:kern w:val="0"/>
                <w:sz w:val="24"/>
                <w:szCs w:val="24"/>
                <w:lang w:val="en-US" w:eastAsia="zh-CN" w:bidi="ar"/>
              </w:rPr>
              <w:t>负责组织供应商质量约谈、供应商月度评价。</w:t>
            </w:r>
          </w:p>
        </w:tc>
      </w:tr>
    </w:tbl>
    <w:p w14:paraId="7E96F58B">
      <w:pPr>
        <w:rPr>
          <w:rFonts w:hint="eastAsia" w:ascii="仿宋" w:hAnsi="仿宋" w:eastAsia="仿宋" w:cs="仿宋"/>
          <w:sz w:val="32"/>
          <w:szCs w:val="32"/>
        </w:rPr>
      </w:pPr>
    </w:p>
    <w:p w14:paraId="03C63C51">
      <w:pPr>
        <w:pStyle w:val="3"/>
        <w:keepNext w:val="0"/>
        <w:keepLines w:val="0"/>
        <w:pageBreakBefore w:val="0"/>
        <w:widowControl/>
        <w:numPr>
          <w:ilvl w:val="0"/>
          <w:numId w:val="1"/>
        </w:numPr>
        <w:shd w:val="clear" w:color="auto" w:fill="FFFFFF"/>
        <w:kinsoku/>
        <w:wordWrap/>
        <w:overflowPunct/>
        <w:topLinePunct w:val="0"/>
        <w:autoSpaceDE/>
        <w:autoSpaceDN/>
        <w:bidi w:val="0"/>
        <w:adjustRightInd/>
        <w:snapToGrid/>
        <w:spacing w:before="157" w:beforeLines="50" w:beforeAutospacing="0" w:after="0" w:afterAutospacing="0" w:line="594" w:lineRule="atLeast"/>
        <w:ind w:firstLine="578"/>
        <w:jc w:val="both"/>
        <w:textAlignment w:val="auto"/>
        <w:rPr>
          <w:rFonts w:hint="eastAsia" w:ascii="仿宋" w:hAnsi="仿宋" w:eastAsia="仿宋" w:cs="仿宋"/>
          <w:b/>
          <w:bCs/>
          <w:color w:val="333333"/>
          <w:spacing w:val="-6"/>
          <w:sz w:val="28"/>
          <w:szCs w:val="28"/>
          <w:shd w:val="clear" w:color="auto" w:fill="FFFFFF"/>
        </w:rPr>
      </w:pPr>
      <w:r>
        <w:rPr>
          <w:rFonts w:hint="eastAsia" w:ascii="仿宋" w:hAnsi="仿宋" w:eastAsia="仿宋" w:cs="仿宋"/>
          <w:b/>
          <w:bCs/>
          <w:color w:val="333333"/>
          <w:spacing w:val="-6"/>
          <w:sz w:val="28"/>
          <w:szCs w:val="28"/>
          <w:shd w:val="clear" w:color="auto" w:fill="FFFFFF"/>
        </w:rPr>
        <w:t>实施过程与路径</w:t>
      </w:r>
    </w:p>
    <w:p w14:paraId="10B0EF98">
      <w:pPr>
        <w:pStyle w:val="3"/>
        <w:keepNext w:val="0"/>
        <w:keepLines w:val="0"/>
        <w:pageBreakBefore w:val="0"/>
        <w:widowControl/>
        <w:numPr>
          <w:ilvl w:val="0"/>
          <w:numId w:val="2"/>
        </w:numPr>
        <w:shd w:val="clear" w:color="auto" w:fill="FFFFFF"/>
        <w:kinsoku/>
        <w:wordWrap/>
        <w:overflowPunct/>
        <w:topLinePunct w:val="0"/>
        <w:autoSpaceDE/>
        <w:autoSpaceDN/>
        <w:bidi w:val="0"/>
        <w:adjustRightInd/>
        <w:snapToGrid w:val="0"/>
        <w:spacing w:before="157" w:beforeLines="50" w:beforeAutospacing="0" w:after="157" w:afterLines="50" w:afterAutospacing="0"/>
        <w:ind w:firstLine="458" w:firstLineChars="200"/>
        <w:textAlignment w:val="auto"/>
        <w:rPr>
          <w:rFonts w:hint="eastAsia" w:ascii="仿宋" w:hAnsi="仿宋" w:eastAsia="仿宋" w:cs="仿宋"/>
          <w:b/>
          <w:bCs/>
          <w:color w:val="333333"/>
          <w:spacing w:val="-6"/>
          <w:sz w:val="24"/>
          <w:szCs w:val="24"/>
          <w:shd w:val="clear" w:color="auto" w:fill="FFFFFF"/>
          <w:lang w:val="en-US" w:eastAsia="zh-CN"/>
        </w:rPr>
      </w:pPr>
      <w:r>
        <w:rPr>
          <w:rFonts w:hint="eastAsia" w:ascii="仿宋" w:hAnsi="仿宋" w:eastAsia="仿宋" w:cs="仿宋"/>
          <w:b/>
          <w:bCs/>
          <w:color w:val="333333"/>
          <w:spacing w:val="-6"/>
          <w:sz w:val="24"/>
          <w:szCs w:val="24"/>
          <w:shd w:val="clear" w:color="auto" w:fill="FFFFFF"/>
          <w:lang w:val="en-US" w:eastAsia="zh-CN"/>
        </w:rPr>
        <w:t>实施周期与流程</w:t>
      </w:r>
    </w:p>
    <w:p w14:paraId="3C2425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ascii="仿宋" w:hAnsi="仿宋"/>
          <w:color w:val="0000FF"/>
          <w:sz w:val="24"/>
        </w:rPr>
        <w:t>为提升标品质量安全水平，明康汇于2024年12月正式启动标品异物治理专项项目，遵循“打基础—建标准—严审核—强培训—专项治理—持续监控”六步推进法，构建覆盖供应商准入、过程管控、终端防控的全链条异物治理体系。</w:t>
      </w:r>
    </w:p>
    <w:p w14:paraId="37307E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ascii="仿宋" w:hAnsi="仿宋"/>
          <w:color w:val="0000FF"/>
          <w:sz w:val="24"/>
        </w:rPr>
        <w:t>2024年12月，明康汇组织大型线下异物专题研讨会，特邀专家面向所有标品供应商品控团队开展专项培训，深入剖析防控难点与应对方法，为后续工作奠定思想与协作基础。</w:t>
      </w:r>
    </w:p>
    <w:p w14:paraId="149EB8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ascii="仿宋" w:hAnsi="仿宋"/>
          <w:color w:val="0000FF"/>
          <w:sz w:val="24"/>
        </w:rPr>
        <w:t>2025年1月，明康汇升级标品供应商审核基准，新增异物管控专项75分合格要求，从源头强化约束。2月，进一步明确二方审核员须具备BRC/FSSC专业认证或8年以上食品行业审核经验，确保审核专业性。3月至8月，结合季度异物发生趋势，明康汇有序开展系列专项治理活动，包括毛发异物管控专项、标品异物管控良好实践案例评比、供应商夏季食安动员大会、金检机有效性验证专项、虫害管控自查专项等。活动中系统输出异物来源分析与防控方法，并对供应商学习成果及实践落实情况进行考核；对管控不足者下达限期整改通知，逾期未达标则暂停供货资格。除专项治理外，明康汇同步推进监控、复盘及良好实践案例的推广工作。</w:t>
      </w:r>
    </w:p>
    <w:p w14:paraId="770A2D22">
      <w:pPr>
        <w:jc w:val="both"/>
        <w:rPr>
          <w:rFonts w:hint="eastAsia" w:ascii="仿宋" w:hAnsi="仿宋" w:eastAsia="仿宋" w:cs="仿宋"/>
          <w:sz w:val="28"/>
          <w:szCs w:val="28"/>
          <w:lang w:val="en-US" w:eastAsia="zh-CN"/>
        </w:rPr>
      </w:pPr>
      <w:r>
        <w:rPr>
          <w:rFonts w:hint="eastAsia" w:ascii="仿宋" w:hAnsi="仿宋" w:eastAsia="仿宋" w:cs="仿宋"/>
        </w:rPr>
      </w:r>
      <w:r>
        <w:rPr>
          <w:rFonts w:hint="eastAsia" w:ascii="仿宋" w:hAnsi="仿宋" w:eastAsia="仿宋" w:cs="仿宋"/>
          <w:sz w:val="28"/>
          <w:szCs w:val="28"/>
          <w:lang w:eastAsia="zh-CN"/>
        </w:rPr>
        <w:drawing>
          <wp:inline distT="0" distB="0" distL="114300" distR="114300">
            <wp:extent cx="1990090" cy="3540125"/>
            <wp:effectExtent l="0" t="0" r="6350" b="10795"/>
            <wp:docPr id="10" name="图片 10" descr="评比海报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评比海报 (1)"/>
                    <pic:cNvPicPr>
                      <a:picLocks noChangeAspect="1"/>
                    </pic:cNvPicPr>
                  </pic:nvPicPr>
                  <pic:blipFill>
                    <a:blip r:embed="rId10"/>
                    <a:stretch>
                      <a:fillRect/>
                    </a:stretch>
                  </pic:blipFill>
                  <pic:spPr>
                    <a:xfrm>
                      <a:off x="0" y="0"/>
                      <a:ext cx="1990090" cy="3540125"/>
                    </a:xfrm>
                    <a:prstGeom prst="rect">
                      <a:avLst/>
                    </a:prstGeom>
                  </pic:spPr>
                </pic:pic>
              </a:graphicData>
            </a:graphic>
          </wp:inline>
        </w:drawing>
      </w:r>
    </w:p>
    <w:p w14:paraId="218E2D3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（图4：标品异物管控良好实践评比）</w:t>
      </w:r>
    </w:p>
    <w:p w14:paraId="094EBA7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1"/>
          <w:szCs w:val="21"/>
          <w:lang w:val="en-US" w:eastAsia="zh-CN"/>
        </w:rPr>
      </w:pPr>
      <w:r>
        <w:rPr>
          <w:rFonts w:ascii="仿宋" w:hAnsi="仿宋"/>
          <w:color w:val="0000FF"/>
          <w:sz w:val="21"/>
        </w:rPr>
        <w:t>2025年5月，明康汇面向所有在供标品供应商发起标品异物管控良好实践案例征集活动。各供应商基于自身实践经验提炼形成具有推广价值的学习案例，经企业各部门及行业专家联合评审，评选出前六名优秀案例。优秀案例在专项会议上分享，为其他供应商提供借鉴。</w:t>
      </w:r>
    </w:p>
    <w:p w14:paraId="4F2C650A">
      <w:pPr>
        <w:pStyle w:val="3"/>
        <w:keepNext w:val="0"/>
        <w:keepLines w:val="0"/>
        <w:pageBreakBefore w:val="0"/>
        <w:widowControl/>
        <w:numPr>
          <w:ilvl w:val="0"/>
          <w:numId w:val="0"/>
        </w:numPr>
        <w:shd w:val="clear" w:color="auto" w:fill="FFFFFF"/>
        <w:kinsoku/>
        <w:wordWrap/>
        <w:overflowPunct/>
        <w:topLinePunct w:val="0"/>
        <w:autoSpaceDE/>
        <w:autoSpaceDN/>
        <w:bidi w:val="0"/>
        <w:adjustRightInd/>
        <w:snapToGrid w:val="0"/>
        <w:spacing w:before="157" w:beforeLines="50" w:beforeAutospacing="0" w:after="157" w:afterLines="50" w:afterAutospacing="0"/>
        <w:textAlignment w:val="auto"/>
        <w:rPr>
          <w:rFonts w:hint="eastAsia" w:ascii="仿宋" w:hAnsi="仿宋" w:eastAsia="仿宋" w:cs="仿宋"/>
          <w:b/>
          <w:bCs/>
          <w:color w:val="333333"/>
          <w:spacing w:val="-6"/>
          <w:sz w:val="24"/>
          <w:szCs w:val="24"/>
          <w:shd w:val="clear" w:color="auto" w:fill="FFFFFF"/>
          <w:lang w:val="en-US" w:eastAsia="zh-CN"/>
        </w:rPr>
      </w:pPr>
    </w:p>
    <w:p w14:paraId="3D54827A">
      <w:pPr>
        <w:pStyle w:val="3"/>
        <w:keepNext w:val="0"/>
        <w:keepLines w:val="0"/>
        <w:pageBreakBefore w:val="0"/>
        <w:widowControl/>
        <w:numPr>
          <w:ilvl w:val="0"/>
          <w:numId w:val="2"/>
        </w:numPr>
        <w:shd w:val="clear" w:color="auto" w:fill="FFFFFF"/>
        <w:kinsoku/>
        <w:wordWrap/>
        <w:overflowPunct/>
        <w:topLinePunct w:val="0"/>
        <w:autoSpaceDE/>
        <w:autoSpaceDN/>
        <w:bidi w:val="0"/>
        <w:adjustRightInd/>
        <w:snapToGrid w:val="0"/>
        <w:spacing w:before="157" w:beforeLines="50" w:beforeAutospacing="0" w:after="157" w:afterLines="50" w:afterAutospacing="0"/>
        <w:ind w:firstLine="458" w:firstLineChars="200"/>
        <w:textAlignment w:val="auto"/>
        <w:rPr>
          <w:rFonts w:hint="eastAsia" w:ascii="仿宋" w:hAnsi="仿宋" w:eastAsia="仿宋" w:cs="仿宋"/>
          <w:b/>
          <w:bCs/>
          <w:color w:val="333333"/>
          <w:spacing w:val="-6"/>
          <w:sz w:val="24"/>
          <w:szCs w:val="24"/>
          <w:shd w:val="clear" w:color="auto" w:fill="FFFFFF"/>
          <w:lang w:val="en-US" w:eastAsia="zh-CN"/>
        </w:rPr>
      </w:pPr>
      <w:r>
        <w:rPr>
          <w:rFonts w:hint="eastAsia" w:ascii="仿宋" w:hAnsi="仿宋" w:eastAsia="仿宋" w:cs="仿宋"/>
          <w:b/>
          <w:bCs/>
          <w:color w:val="333333"/>
          <w:spacing w:val="-6"/>
          <w:sz w:val="24"/>
          <w:szCs w:val="24"/>
          <w:shd w:val="clear" w:color="auto" w:fill="FFFFFF"/>
          <w:lang w:val="en-US" w:eastAsia="zh-CN"/>
        </w:rPr>
        <w:t>困难与应对</w:t>
      </w:r>
    </w:p>
    <w:p w14:paraId="1CDB41D5">
      <w:pPr>
        <w:pStyle w:val="3"/>
        <w:keepNext w:val="0"/>
        <w:keepLines w:val="0"/>
        <w:pageBreakBefore w:val="0"/>
        <w:widowControl/>
        <w:numPr>
          <w:ilvl w:val="0"/>
          <w:numId w:val="0"/>
        </w:numPr>
        <w:shd w:val="clear" w:color="auto" w:fill="FFFFFF"/>
        <w:kinsoku/>
        <w:wordWrap/>
        <w:overflowPunct/>
        <w:topLinePunct w:val="0"/>
        <w:autoSpaceDE/>
        <w:autoSpaceDN/>
        <w:bidi w:val="0"/>
        <w:adjustRightInd/>
        <w:snapToGrid w:val="0"/>
        <w:spacing w:before="157" w:beforeLines="50" w:beforeAutospacing="0" w:after="157" w:afterLines="50" w:afterAutospacing="0" w:line="360" w:lineRule="auto"/>
        <w:ind w:firstLine="480" w:firstLineChars="200"/>
        <w:textAlignment w:val="auto"/>
        <w:rPr>
          <w:rFonts w:hint="eastAsia" w:ascii="仿宋" w:hAnsi="仿宋" w:eastAsia="仿宋" w:cs="仿宋"/>
          <w:kern w:val="2"/>
          <w:sz w:val="24"/>
          <w:szCs w:val="24"/>
          <w:lang w:val="en-US" w:eastAsia="zh-CN" w:bidi="ar-SA"/>
        </w:rPr>
      </w:pPr>
      <w:r>
        <w:rPr>
          <w:rFonts w:ascii="仿宋" w:hAnsi="仿宋"/>
          <w:color w:val="0000FF"/>
          <w:sz w:val="24"/>
        </w:rPr>
        <w:t>针对异物管控工作中面临的困难，项目组制定了系统性应对措施：一是针对部分供应商异物管控意识薄弱、整改配合度低的问题，建立分级处罚机制（恶性异物处罚0.3-2万元，一般异物处罚0.05-1万元）及关单机制，强化约束效力，倒逼供应商主动落实整改；二是针对供应商异物风险识别与管控能力不足的问题，采用“诊断+培训”一对一辅导模式，帮助供应商系统提升风险识别与过程管控能力；三是针对异物客诉数据分散、缺乏统一监控的问题，搭建线上数据看板，实现异物数据实时可视化管理，并由标品质量负责人在项目群定时推送预警与月度复盘信息，确保问题及时跟进与闭环处理；四是针对采购引入新供应商时异物意识薄弱的问题，通过专项要求明确各品类采购需承担对应的异物客诉考核目标，从源头强化供应商准入环节的异物管控意识。</w:t>
      </w:r>
    </w:p>
    <w:p w14:paraId="4E07C35B">
      <w:pPr>
        <w:pStyle w:val="3"/>
        <w:keepNext w:val="0"/>
        <w:keepLines w:val="0"/>
        <w:pageBreakBefore w:val="0"/>
        <w:widowControl/>
        <w:numPr>
          <w:ilvl w:val="0"/>
          <w:numId w:val="2"/>
        </w:numPr>
        <w:shd w:val="clear" w:color="auto" w:fill="FFFFFF"/>
        <w:kinsoku/>
        <w:wordWrap/>
        <w:overflowPunct/>
        <w:topLinePunct w:val="0"/>
        <w:autoSpaceDE/>
        <w:autoSpaceDN/>
        <w:bidi w:val="0"/>
        <w:adjustRightInd/>
        <w:snapToGrid w:val="0"/>
        <w:spacing w:before="157" w:beforeLines="50" w:beforeAutospacing="0" w:after="157" w:afterLines="50" w:afterAutospacing="0"/>
        <w:ind w:firstLine="458" w:firstLineChars="200"/>
        <w:textAlignment w:val="auto"/>
        <w:rPr>
          <w:rFonts w:hint="eastAsia" w:ascii="仿宋" w:hAnsi="仿宋" w:eastAsia="仿宋" w:cs="仿宋"/>
          <w:b/>
          <w:bCs/>
          <w:color w:val="333333"/>
          <w:spacing w:val="-6"/>
          <w:sz w:val="24"/>
          <w:szCs w:val="24"/>
          <w:shd w:val="clear" w:color="auto" w:fill="FFFFFF"/>
          <w:lang w:val="en-US" w:eastAsia="zh-CN"/>
        </w:rPr>
      </w:pPr>
      <w:r>
        <w:rPr>
          <w:rFonts w:hint="eastAsia" w:ascii="仿宋" w:hAnsi="仿宋" w:eastAsia="仿宋" w:cs="仿宋"/>
          <w:b/>
          <w:bCs/>
          <w:color w:val="333333"/>
          <w:spacing w:val="-6"/>
          <w:sz w:val="24"/>
          <w:szCs w:val="24"/>
          <w:shd w:val="clear" w:color="auto" w:fill="FFFFFF"/>
          <w:lang w:val="en-US" w:eastAsia="zh-CN"/>
        </w:rPr>
        <w:t>方法论与创新点</w:t>
      </w:r>
    </w:p>
    <w:p w14:paraId="10767C32">
      <w:pPr>
        <w:pStyle w:val="3"/>
        <w:keepNext w:val="0"/>
        <w:keepLines w:val="0"/>
        <w:pageBreakBefore w:val="0"/>
        <w:widowControl/>
        <w:numPr>
          <w:ilvl w:val="0"/>
          <w:numId w:val="0"/>
        </w:numPr>
        <w:shd w:val="clear" w:color="auto" w:fill="FFFFFF"/>
        <w:kinsoku/>
        <w:wordWrap/>
        <w:overflowPunct/>
        <w:topLinePunct w:val="0"/>
        <w:autoSpaceDE/>
        <w:autoSpaceDN/>
        <w:bidi w:val="0"/>
        <w:adjustRightInd/>
        <w:snapToGrid w:val="0"/>
        <w:spacing w:before="157" w:beforeLines="50" w:beforeAutospacing="0" w:after="157" w:afterLines="50" w:afterAutospacing="0" w:line="360" w:lineRule="auto"/>
        <w:ind w:firstLine="480" w:firstLineChars="200"/>
        <w:textAlignment w:val="auto"/>
        <w:rPr>
          <w:rFonts w:hint="eastAsia" w:ascii="仿宋" w:hAnsi="仿宋" w:eastAsia="仿宋" w:cs="仿宋"/>
          <w:kern w:val="2"/>
          <w:sz w:val="24"/>
          <w:szCs w:val="24"/>
          <w:lang w:val="en-US" w:eastAsia="zh-CN" w:bidi="ar-SA"/>
        </w:rPr>
      </w:pPr>
      <w:r>
        <w:rPr>
          <w:rFonts w:ascii="仿宋" w:hAnsi="仿宋"/>
          <w:color w:val="0000FF"/>
          <w:sz w:val="24"/>
        </w:rPr>
        <w:t>项目构建了一套系统化的实施路径与创新机制。方法论层面，以“标准先行、审核驱动、专项突破、培训赋能、数据闭环”为核心逻辑，构建全流程管控体系；在此基础上，同步推进多维度创新：管理创新上，建立异物客诉与供应商评级联动机制，实现供应商动态准入与退出；机制创新上，引入“预警—关单—复盘”业务风险管控流程，确保问题快速响应与闭环处理；模式创新上，通过“标品异物管控良好实践案例评比”，推动供应商间经验共享与对标提升，形成持续改进的良性循环。</w:t>
      </w:r>
    </w:p>
    <w:p w14:paraId="4B61AC94">
      <w:pPr>
        <w:pStyle w:val="3"/>
        <w:keepNext w:val="0"/>
        <w:keepLines w:val="0"/>
        <w:pageBreakBefore w:val="0"/>
        <w:widowControl/>
        <w:numPr>
          <w:ilvl w:val="0"/>
          <w:numId w:val="1"/>
        </w:numPr>
        <w:shd w:val="clear" w:color="auto" w:fill="FFFFFF"/>
        <w:kinsoku/>
        <w:wordWrap/>
        <w:overflowPunct/>
        <w:topLinePunct w:val="0"/>
        <w:autoSpaceDE/>
        <w:autoSpaceDN/>
        <w:bidi w:val="0"/>
        <w:adjustRightInd/>
        <w:snapToGrid/>
        <w:spacing w:before="157" w:beforeLines="50" w:beforeAutospacing="0" w:after="0" w:afterAutospacing="0" w:line="594" w:lineRule="atLeast"/>
        <w:ind w:firstLine="578"/>
        <w:jc w:val="both"/>
        <w:textAlignment w:val="auto"/>
        <w:rPr>
          <w:rFonts w:hint="eastAsia" w:ascii="仿宋" w:hAnsi="仿宋" w:eastAsia="仿宋" w:cs="仿宋"/>
          <w:b/>
          <w:bCs/>
          <w:color w:val="333333"/>
          <w:spacing w:val="-6"/>
          <w:sz w:val="28"/>
          <w:szCs w:val="28"/>
          <w:shd w:val="clear" w:color="auto" w:fill="FFFFFF"/>
        </w:rPr>
      </w:pPr>
      <w:r>
        <w:rPr>
          <w:rFonts w:hint="eastAsia" w:ascii="仿宋" w:hAnsi="仿宋" w:eastAsia="仿宋" w:cs="仿宋"/>
          <w:b/>
          <w:bCs/>
          <w:color w:val="333333"/>
          <w:spacing w:val="-6"/>
          <w:sz w:val="28"/>
          <w:szCs w:val="28"/>
          <w:shd w:val="clear" w:color="auto" w:fill="FFFFFF"/>
        </w:rPr>
        <w:t>成果和价值</w:t>
      </w:r>
    </w:p>
    <w:p w14:paraId="08D1A424">
      <w:pPr>
        <w:pStyle w:val="3"/>
        <w:keepNext w:val="0"/>
        <w:keepLines w:val="0"/>
        <w:pageBreakBefore w:val="0"/>
        <w:widowControl/>
        <w:numPr>
          <w:ilvl w:val="0"/>
          <w:numId w:val="3"/>
        </w:numPr>
        <w:shd w:val="clear" w:color="auto" w:fill="FFFFFF"/>
        <w:kinsoku/>
        <w:wordWrap/>
        <w:overflowPunct/>
        <w:topLinePunct w:val="0"/>
        <w:autoSpaceDE/>
        <w:autoSpaceDN/>
        <w:bidi w:val="0"/>
        <w:adjustRightInd/>
        <w:snapToGrid w:val="0"/>
        <w:spacing w:before="157" w:beforeLines="50" w:beforeAutospacing="0" w:after="157" w:afterLines="50" w:afterAutospacing="0"/>
        <w:ind w:firstLine="458" w:firstLineChars="200"/>
        <w:textAlignment w:val="auto"/>
        <w:rPr>
          <w:rFonts w:hint="eastAsia" w:ascii="仿宋" w:hAnsi="仿宋" w:eastAsia="仿宋" w:cs="仿宋"/>
          <w:b/>
          <w:bCs/>
          <w:color w:val="333333"/>
          <w:spacing w:val="-6"/>
          <w:sz w:val="24"/>
          <w:szCs w:val="24"/>
          <w:shd w:val="clear" w:color="auto" w:fill="FFFFFF"/>
          <w:lang w:val="en-US" w:eastAsia="zh-CN"/>
        </w:rPr>
      </w:pPr>
      <w:r>
        <w:rPr>
          <w:rFonts w:hint="eastAsia" w:ascii="仿宋" w:hAnsi="仿宋" w:eastAsia="仿宋" w:cs="仿宋"/>
          <w:b/>
          <w:bCs/>
          <w:color w:val="333333"/>
          <w:spacing w:val="-6"/>
          <w:sz w:val="24"/>
          <w:szCs w:val="24"/>
          <w:shd w:val="clear" w:color="auto" w:fill="FFFFFF"/>
          <w:lang w:val="en-US" w:eastAsia="zh-CN"/>
        </w:rPr>
        <w:t>创新点提炼</w:t>
      </w:r>
    </w:p>
    <w:p w14:paraId="53E304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8"/>
          <w:szCs w:val="28"/>
        </w:rPr>
      </w:pPr>
      <w:r>
        <w:rPr>
          <w:rFonts w:ascii="仿宋" w:hAnsi="仿宋"/>
          <w:color w:val="0000FF"/>
          <w:sz w:val="24"/>
        </w:rPr>
        <w:t>项目建立了涵盖准入、审核、评级、处罚、培训、退出的全流程异物管控体系，实现从“事后处理”到“事前预防、事中控制、事后复盘”的闭环管理，并通过数据看板与月度目标分解达成精细化、可视化管理。</w:t>
      </w:r>
    </w:p>
    <w:p w14:paraId="0DA6635E">
      <w:pPr>
        <w:pStyle w:val="3"/>
        <w:keepNext w:val="0"/>
        <w:keepLines w:val="0"/>
        <w:pageBreakBefore w:val="0"/>
        <w:widowControl/>
        <w:numPr>
          <w:ilvl w:val="0"/>
          <w:numId w:val="3"/>
        </w:numPr>
        <w:shd w:val="clear" w:color="auto" w:fill="FFFFFF"/>
        <w:kinsoku/>
        <w:wordWrap/>
        <w:overflowPunct/>
        <w:topLinePunct w:val="0"/>
        <w:autoSpaceDE/>
        <w:autoSpaceDN/>
        <w:bidi w:val="0"/>
        <w:adjustRightInd/>
        <w:snapToGrid w:val="0"/>
        <w:spacing w:before="157" w:beforeLines="50" w:beforeAutospacing="0" w:after="157" w:afterLines="50" w:afterAutospacing="0"/>
        <w:ind w:firstLine="458" w:firstLineChars="200"/>
        <w:textAlignment w:val="auto"/>
        <w:rPr>
          <w:rFonts w:hint="eastAsia" w:ascii="仿宋" w:hAnsi="仿宋" w:eastAsia="仿宋" w:cs="仿宋"/>
          <w:b/>
          <w:bCs/>
          <w:color w:val="333333"/>
          <w:spacing w:val="-6"/>
          <w:sz w:val="24"/>
          <w:szCs w:val="24"/>
          <w:shd w:val="clear" w:color="auto" w:fill="FFFFFF"/>
          <w:lang w:val="en-US" w:eastAsia="zh-CN"/>
        </w:rPr>
      </w:pPr>
      <w:r>
        <w:rPr>
          <w:rFonts w:hint="eastAsia" w:ascii="仿宋" w:hAnsi="仿宋" w:eastAsia="仿宋" w:cs="仿宋"/>
          <w:b/>
          <w:bCs/>
          <w:color w:val="333333"/>
          <w:spacing w:val="-6"/>
          <w:sz w:val="24"/>
          <w:szCs w:val="24"/>
          <w:shd w:val="clear" w:color="auto" w:fill="FFFFFF"/>
          <w:lang w:val="en-US" w:eastAsia="zh-CN"/>
        </w:rPr>
        <w:t>成效数据</w:t>
      </w:r>
    </w:p>
    <w:p w14:paraId="00618E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8"/>
          <w:szCs w:val="28"/>
          <w:highlight w:val="none"/>
        </w:rPr>
      </w:pPr>
      <w:r>
        <w:rPr>
          <w:rFonts w:ascii="仿宋" w:hAnsi="仿宋"/>
          <w:color w:val="0000FF"/>
          <w:sz w:val="24"/>
        </w:rPr>
        <w:t>2025年全年异物客诉率为2.8ppm，较2024年下降35%。</w:t>
      </w:r>
    </w:p>
    <w:p w14:paraId="13F6D17D">
      <w:pPr>
        <w:pStyle w:val="3"/>
        <w:keepNext w:val="0"/>
        <w:keepLines w:val="0"/>
        <w:pageBreakBefore w:val="0"/>
        <w:widowControl/>
        <w:numPr>
          <w:ilvl w:val="0"/>
          <w:numId w:val="3"/>
        </w:numPr>
        <w:shd w:val="clear" w:color="auto" w:fill="FFFFFF"/>
        <w:kinsoku/>
        <w:wordWrap/>
        <w:overflowPunct/>
        <w:topLinePunct w:val="0"/>
        <w:autoSpaceDE/>
        <w:autoSpaceDN/>
        <w:bidi w:val="0"/>
        <w:adjustRightInd/>
        <w:snapToGrid w:val="0"/>
        <w:spacing w:before="157" w:beforeLines="50" w:beforeAutospacing="0" w:after="157" w:afterLines="50" w:afterAutospacing="0"/>
        <w:ind w:firstLine="458" w:firstLineChars="200"/>
        <w:textAlignment w:val="auto"/>
        <w:rPr>
          <w:rFonts w:hint="eastAsia" w:ascii="仿宋" w:hAnsi="仿宋" w:eastAsia="仿宋" w:cs="仿宋"/>
          <w:b/>
          <w:bCs/>
          <w:color w:val="333333"/>
          <w:spacing w:val="-6"/>
          <w:sz w:val="24"/>
          <w:szCs w:val="24"/>
          <w:shd w:val="clear" w:color="auto" w:fill="FFFFFF"/>
          <w:lang w:val="en-US" w:eastAsia="zh-CN"/>
        </w:rPr>
      </w:pPr>
      <w:r>
        <w:rPr>
          <w:rFonts w:hint="eastAsia" w:ascii="仿宋" w:hAnsi="仿宋" w:eastAsia="仿宋" w:cs="仿宋"/>
          <w:b/>
          <w:bCs/>
          <w:color w:val="333333"/>
          <w:spacing w:val="-6"/>
          <w:sz w:val="24"/>
          <w:szCs w:val="24"/>
          <w:shd w:val="clear" w:color="auto" w:fill="FFFFFF"/>
          <w:lang w:val="en-US" w:eastAsia="zh-CN"/>
        </w:rPr>
        <w:t>推广与复制价值</w:t>
      </w:r>
    </w:p>
    <w:p w14:paraId="030E83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ascii="仿宋" w:hAnsi="仿宋"/>
          <w:color w:val="0000FF"/>
          <w:sz w:val="24"/>
        </w:rPr>
        <w:t>本项目构建的异物治理体系具有较强的行业通用性与可复制性，尤其适用于连锁零售、食品加工、餐饮供应链等对异物管控要求高的场景。核心价值包括：</w:t>
      </w:r>
    </w:p>
    <w:p w14:paraId="0466E545">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482" w:firstLineChars="200"/>
        <w:textAlignment w:val="auto"/>
        <w:rPr>
          <w:rFonts w:hint="eastAsia" w:ascii="仿宋" w:hAnsi="仿宋" w:eastAsia="仿宋" w:cs="仿宋"/>
          <w:sz w:val="24"/>
          <w:szCs w:val="24"/>
          <w:lang w:val="en-US" w:eastAsia="zh-CN"/>
        </w:rPr>
      </w:pPr>
      <w:r>
        <w:rPr>
          <w:rFonts w:ascii="仿宋" w:hAnsi="仿宋"/>
          <w:color w:val="0000FF"/>
          <w:sz w:val="24"/>
        </w:rPr>
        <w:t>（1）标准化操作模板：可供同类企业直接参考或适配使用。</w:t>
      </w:r>
    </w:p>
    <w:p w14:paraId="239B5F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（2）</w:t>
      </w:r>
      <w:r>
        <w:rPr>
          <w:rFonts w:hint="eastAsia" w:ascii="仿宋" w:hAnsi="仿宋" w:eastAsia="仿宋" w:cs="仿宋"/>
          <w:b/>
          <w:bCs/>
          <w:sz w:val="24"/>
          <w:szCs w:val="24"/>
          <w:lang w:val="en-US" w:eastAsia="zh-CN"/>
        </w:rPr>
        <w:t>数据驱动管理机制：</w:t>
      </w:r>
      <w:r>
        <w:rPr>
          <w:rFonts w:hint="eastAsia" w:ascii="仿宋" w:hAnsi="仿宋" w:eastAsia="仿宋" w:cs="仿宋"/>
          <w:sz w:val="24"/>
          <w:szCs w:val="24"/>
          <w:lang w:val="en-US" w:eastAsia="zh-CN"/>
        </w:rPr>
        <w:t>通过目标分解与实时看板，实现透明化、可量化的管理。</w:t>
      </w:r>
    </w:p>
    <w:p w14:paraId="26C3B5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（3）</w:t>
      </w:r>
      <w:r>
        <w:rPr>
          <w:rFonts w:hint="eastAsia" w:ascii="仿宋" w:hAnsi="仿宋" w:eastAsia="仿宋" w:cs="仿宋"/>
          <w:b/>
          <w:bCs/>
          <w:sz w:val="24"/>
          <w:szCs w:val="24"/>
          <w:lang w:val="en-US" w:eastAsia="zh-CN"/>
        </w:rPr>
        <w:t>供应商协同模式：</w:t>
      </w:r>
      <w:r>
        <w:rPr>
          <w:rFonts w:hint="eastAsia" w:ascii="仿宋" w:hAnsi="仿宋" w:eastAsia="仿宋" w:cs="仿宋"/>
          <w:sz w:val="24"/>
          <w:szCs w:val="24"/>
          <w:lang w:val="en-US" w:eastAsia="zh-CN"/>
        </w:rPr>
        <w:t>通过培训、评比、约谈等方式，推动供应链整体能力提升。</w:t>
      </w:r>
    </w:p>
    <w:p w14:paraId="1FCC74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ascii="仿宋" w:hAnsi="仿宋"/>
          <w:color w:val="0000FF"/>
          <w:sz w:val="24"/>
        </w:rPr>
        <w:t>该项目不仅提升了明康汇的食品安全管理水平，也为行业提供了可借鉴的异物治理实践案例，具有广泛的推广价值。</w:t>
      </w:r>
    </w:p>
    <w:sectPr>
      <w:footerReference r:id="rId4" w:type="first"/>
      <w:footerReference r:id="rId3" w:type="default"/>
      <w:pgSz w:w="11906" w:h="16838"/>
      <w:pgMar w:top="851" w:right="1304" w:bottom="851" w:left="1304" w:header="851" w:footer="510"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5130126"/>
    </w:sdtPr>
    <w:sdtContent>
      <w:p w14:paraId="56F76F7E">
        <w:pPr>
          <w:pStyle w:val="2"/>
          <w:jc w:val="center"/>
        </w:pPr>
        <w:r>
          <w:fldChar w:fldCharType="begin"/>
        </w:r>
        <w:r>
          <w:instrText xml:space="preserve">PAGE   \* MERGEFORMAT</w:instrText>
        </w:r>
        <w:r>
          <w:fldChar w:fldCharType="separate"/>
        </w:r>
        <w:r>
          <w:rPr>
            <w:lang w:val="zh-CN"/>
          </w:rPr>
          <w:t>2</w:t>
        </w:r>
        <w:r>
          <w:fldChar w:fldCharType="end"/>
        </w:r>
      </w:p>
    </w:sdtContent>
  </w:sdt>
  <w:p w14:paraId="6D7D2B28">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D8790">
    <w:pPr>
      <w:pStyle w:val="2"/>
      <w:jc w:val="center"/>
    </w:pPr>
  </w:p>
  <w:p w14:paraId="7D0669DD">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BD7076"/>
    <w:multiLevelType w:val="singleLevel"/>
    <w:tmpl w:val="D6BD7076"/>
    <w:lvl w:ilvl="0" w:tentative="0">
      <w:start w:val="1"/>
      <w:numFmt w:val="decimal"/>
      <w:suff w:val="nothing"/>
      <w:lvlText w:val="（%1）"/>
      <w:lvlJc w:val="left"/>
    </w:lvl>
  </w:abstractNum>
  <w:abstractNum w:abstractNumId="1">
    <w:nsid w:val="E4EB3C48"/>
    <w:multiLevelType w:val="singleLevel"/>
    <w:tmpl w:val="E4EB3C48"/>
    <w:lvl w:ilvl="0" w:tentative="0">
      <w:start w:val="1"/>
      <w:numFmt w:val="chineseCounting"/>
      <w:suff w:val="nothing"/>
      <w:lvlText w:val="%1、"/>
      <w:lvlJc w:val="left"/>
      <w:rPr>
        <w:rFonts w:hint="eastAsia"/>
      </w:rPr>
    </w:lvl>
  </w:abstractNum>
  <w:abstractNum w:abstractNumId="2">
    <w:nsid w:val="F7FE029A"/>
    <w:multiLevelType w:val="singleLevel"/>
    <w:tmpl w:val="F7FE029A"/>
    <w:lvl w:ilvl="0" w:tentative="0">
      <w:start w:val="1"/>
      <w:numFmt w:val="chineseCounting"/>
      <w:suff w:val="nothing"/>
      <w:lvlText w:val="（%1）"/>
      <w:lvlJc w:val="left"/>
      <w:rPr>
        <w:rFonts w:hint="eastAsia"/>
      </w:rPr>
    </w:lvl>
  </w:abstractNum>
  <w:abstractNum w:abstractNumId="3">
    <w:nsid w:val="5E7D0BB8"/>
    <w:multiLevelType w:val="singleLevel"/>
    <w:tmpl w:val="5E7D0BB8"/>
    <w:lvl w:ilvl="0" w:tentative="0">
      <w:start w:val="1"/>
      <w:numFmt w:val="chineseCounting"/>
      <w:suff w:val="nothing"/>
      <w:lvlText w:val="（%1）"/>
      <w:lvlJc w:val="left"/>
      <w:rPr>
        <w:rFonts w:hint="eastAsia"/>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B37796"/>
    <w:rsid w:val="07F42620"/>
    <w:rsid w:val="089F29B3"/>
    <w:rsid w:val="0DCF1D61"/>
    <w:rsid w:val="0E6A098F"/>
    <w:rsid w:val="13A40A0B"/>
    <w:rsid w:val="14410CB9"/>
    <w:rsid w:val="14D707F5"/>
    <w:rsid w:val="180B2992"/>
    <w:rsid w:val="1BC05D1A"/>
    <w:rsid w:val="1E156D14"/>
    <w:rsid w:val="1E3429EF"/>
    <w:rsid w:val="1E5B7F7C"/>
    <w:rsid w:val="2136496E"/>
    <w:rsid w:val="21FF1EEB"/>
    <w:rsid w:val="2225728C"/>
    <w:rsid w:val="26911E79"/>
    <w:rsid w:val="2F436F36"/>
    <w:rsid w:val="32452FC5"/>
    <w:rsid w:val="33AB6E58"/>
    <w:rsid w:val="343F74DB"/>
    <w:rsid w:val="368D58BE"/>
    <w:rsid w:val="37B37796"/>
    <w:rsid w:val="37CD0448"/>
    <w:rsid w:val="3A854A54"/>
    <w:rsid w:val="3C552056"/>
    <w:rsid w:val="4B676B09"/>
    <w:rsid w:val="4FE8630A"/>
    <w:rsid w:val="50C32408"/>
    <w:rsid w:val="50E61077"/>
    <w:rsid w:val="553736C2"/>
    <w:rsid w:val="561346BC"/>
    <w:rsid w:val="572E7B25"/>
    <w:rsid w:val="6C094140"/>
    <w:rsid w:val="6CF52598"/>
    <w:rsid w:val="71770BD0"/>
    <w:rsid w:val="7F233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 w:type="paragraph" w:styleId="3">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2784</Words>
  <Characters>2921</Characters>
  <Lines>0</Lines>
  <Paragraphs>0</Paragraphs>
  <TotalTime>104</TotalTime>
  <ScaleCrop>false</ScaleCrop>
  <LinksUpToDate>false</LinksUpToDate>
  <CharactersWithSpaces>2971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2025-08-23T13:19:00Z</dcterms:created>
  <dc:creator>泉琳</dc:creator>
  <cp:lastModifiedBy>泉琳</cp:lastModifiedBy>
  <dcterms:modified xsi:type="dcterms:W3CDTF">2026-05-06T03:30:02Z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8F5BAD3078D246AE9119C27E892F3C17_11</vt:lpwstr>
  </property>
  <property fmtid="{D5CDD505-2E9C-101B-9397-08002B2CF9AE}" pid="4" name="KSOTemplateDocerSaveRecord">
    <vt:lpwstr>eyJoZGlkIjoiZTI4MGE0MjMyYTBjMmIyMWM1NWZhYmQ0NmQ1MzA4ZWIiLCJ1c2VySWQiOiIxMDg3MjMzMDIyIn0=</vt:lpwstr>
  </property>
</Properties>
</file>