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035F9">
      <w:pPr>
        <w:spacing w:line="360" w:lineRule="auto"/>
        <w:jc w:val="left"/>
        <w:rPr>
          <w:rFonts w:hint="eastAsia" w:ascii="仿宋" w:hAnsi="仿宋" w:eastAsia="仿宋" w:cs="仿宋"/>
          <w:bCs/>
          <w:sz w:val="30"/>
          <w:szCs w:val="30"/>
        </w:rPr>
      </w:pPr>
      <w:r>
        <w:rPr>
          <w:rFonts w:hint="default" w:ascii="Calibri" w:hAnsi="Calibri" w:eastAsia="仿宋" w:cs="Calibri"/>
          <w:b/>
          <w:sz w:val="30"/>
          <w:szCs w:val="30"/>
        </w:rPr>
      </w:r>
    </w:p>
    <w:p w14:paraId="19574440">
      <w:pPr>
        <w:spacing w:line="360" w:lineRule="auto"/>
        <w:jc w:val="center"/>
        <w:rPr>
          <w:rFonts w:hint="eastAsia" w:ascii="仿宋" w:hAnsi="仿宋" w:eastAsia="仿宋" w:cs="仿宋"/>
          <w:b/>
          <w:sz w:val="36"/>
          <w:szCs w:val="36"/>
        </w:rPr>
      </w:pPr>
      <w:bookmarkStart w:id="0" w:name="OLE_LINK105"/>
      <w:r>
        <w:rPr>
          <w:rFonts w:hint="eastAsia" w:ascii="仿宋" w:hAnsi="仿宋" w:eastAsia="仿宋" w:cs="仿宋"/>
          <w:b/>
          <w:sz w:val="36"/>
          <w:szCs w:val="36"/>
        </w:rPr>
      </w:r>
      <w:bookmarkStart w:id="1" w:name="OLE_LINK86"/>
      <w:r>
        <w:rPr>
          <w:rFonts w:hint="eastAsia" w:ascii="仿宋" w:hAnsi="仿宋" w:eastAsia="仿宋" w:cs="仿宋"/>
          <w:b/>
          <w:sz w:val="36"/>
          <w:szCs w:val="36"/>
        </w:rPr>
      </w:r>
      <w:bookmarkStart w:id="2" w:name="OLE_LINK96"/>
      <w:r>
        <w:rPr>
          <w:rFonts w:hint="eastAsia" w:ascii="仿宋" w:hAnsi="仿宋" w:eastAsia="仿宋" w:cs="仿宋"/>
          <w:b/>
          <w:sz w:val="36"/>
          <w:szCs w:val="36"/>
        </w:rPr>
      </w:r>
      <w:bookmarkEnd w:id="1"/>
      <w:r>
        <w:rPr>
          <w:rFonts w:hint="eastAsia" w:ascii="仿宋" w:hAnsi="仿宋" w:eastAsia="仿宋" w:cs="仿宋"/>
          <w:b/>
          <w:sz w:val="36"/>
          <w:szCs w:val="36"/>
        </w:rPr>
      </w:r>
      <w:bookmarkEnd w:id="2"/>
      <w:r>
        <w:rPr>
          <w:rFonts w:hint="eastAsia" w:ascii="仿宋" w:hAnsi="仿宋" w:eastAsia="仿宋" w:cs="仿宋"/>
          <w:b/>
          <w:sz w:val="36"/>
          <w:szCs w:val="36"/>
        </w:rPr>
      </w:r>
      <w:bookmarkEnd w:id="0"/>
    </w:p>
    <w:p w14:paraId="77DA4075">
      <w:pPr>
        <w:pStyle w:val="3"/>
        <w:shd w:val="clear" w:color="auto" w:fill="FFFFFF"/>
        <w:snapToGrid w:val="0"/>
        <w:spacing w:before="0" w:beforeAutospacing="0" w:after="0" w:afterAutospacing="0"/>
        <w:ind w:firstLine="578"/>
        <w:jc w:val="both"/>
        <w:rPr>
          <w:rFonts w:hint="eastAsia" w:ascii="仿宋" w:hAnsi="仿宋" w:eastAsia="仿宋" w:cs="仿宋"/>
          <w:color w:val="333333"/>
          <w:spacing w:val="-6"/>
          <w:sz w:val="28"/>
          <w:szCs w:val="28"/>
          <w:shd w:val="clear" w:color="auto" w:fill="FFFFFF"/>
        </w:rPr>
      </w:pPr>
      <w:r>
        <w:rPr>
          <w:rFonts w:hint="eastAsia" w:ascii="仿宋" w:hAnsi="仿宋" w:eastAsia="仿宋" w:cs="仿宋"/>
          <w:color w:val="333333"/>
          <w:spacing w:val="-6"/>
          <w:sz w:val="28"/>
          <w:szCs w:val="28"/>
          <w:shd w:val="clear" w:color="auto" w:fill="FFFFFF"/>
        </w:rPr>
      </w:r>
    </w:p>
    <w:p w14:paraId="7A86BD5C">
      <w:pPr>
        <w:spacing w:line="360" w:lineRule="auto"/>
        <w:jc w:val="both"/>
        <w:rPr>
          <w:rFonts w:hint="eastAsia" w:ascii="仿宋" w:hAnsi="仿宋" w:eastAsia="仿宋" w:cs="仿宋"/>
          <w:b/>
          <w:sz w:val="36"/>
          <w:szCs w:val="36"/>
        </w:rPr>
      </w:pPr>
    </w:p>
    <w:p w14:paraId="34B33ECA">
      <w:pPr>
        <w:keepNext w:val="0"/>
        <w:keepLines w:val="0"/>
        <w:pageBreakBefore w:val="0"/>
        <w:kinsoku/>
        <w:wordWrap/>
        <w:overflowPunct/>
        <w:topLinePunct w:val="0"/>
        <w:autoSpaceDE/>
        <w:autoSpaceDN/>
        <w:bidi w:val="0"/>
        <w:adjustRightInd/>
        <w:spacing w:line="300" w:lineRule="auto"/>
        <w:jc w:val="left"/>
        <w:textAlignment w:val="auto"/>
        <w:rPr>
          <w:rFonts w:hint="eastAsia" w:ascii="仿宋" w:hAnsi="仿宋" w:eastAsia="仿宋" w:cs="仿宋"/>
          <w:bCs/>
          <w:sz w:val="30"/>
          <w:szCs w:val="30"/>
        </w:rPr>
      </w:pPr>
      <w:r>
        <w:rPr>
          <w:rFonts w:hint="eastAsia" w:ascii="仿宋" w:hAnsi="仿宋" w:eastAsia="仿宋" w:cs="仿宋"/>
          <w:b/>
          <w:sz w:val="30"/>
          <w:szCs w:val="30"/>
        </w:rPr>
      </w:r>
    </w:p>
    <w:p w14:paraId="321D4C31">
      <w:pPr>
        <w:keepNext w:val="0"/>
        <w:keepLines w:val="0"/>
        <w:pageBreakBefore w:val="0"/>
        <w:kinsoku/>
        <w:wordWrap/>
        <w:overflowPunct/>
        <w:topLinePunct w:val="0"/>
        <w:autoSpaceDE/>
        <w:autoSpaceDN/>
        <w:bidi w:val="0"/>
        <w:adjustRightInd/>
        <w:spacing w:line="300" w:lineRule="auto"/>
        <w:jc w:val="center"/>
        <w:textAlignment w:val="auto"/>
        <w:rPr>
          <w:rFonts w:hint="eastAsia" w:ascii="仿宋" w:hAnsi="仿宋" w:eastAsia="仿宋" w:cs="仿宋"/>
          <w:b/>
          <w:sz w:val="36"/>
          <w:szCs w:val="36"/>
        </w:rPr>
      </w:pPr>
      <w:r>
        <w:rPr>
          <w:rFonts w:hint="eastAsia" w:ascii="仿宋" w:hAnsi="仿宋" w:eastAsia="仿宋" w:cs="仿宋"/>
          <w:b/>
          <w:sz w:val="36"/>
          <w:szCs w:val="36"/>
        </w:rPr>
      </w:r>
    </w:p>
    <w:p w14:paraId="5F6EED05">
      <w:pPr>
        <w:keepNext w:val="0"/>
        <w:keepLines w:val="0"/>
        <w:pageBreakBefore w:val="0"/>
        <w:kinsoku/>
        <w:wordWrap/>
        <w:overflowPunct/>
        <w:topLinePunct w:val="0"/>
        <w:autoSpaceDE/>
        <w:autoSpaceDN/>
        <w:bidi w:val="0"/>
        <w:adjustRightInd/>
        <w:spacing w:line="300" w:lineRule="auto"/>
        <w:jc w:val="center"/>
        <w:textAlignment w:val="auto"/>
        <w:rPr>
          <w:rFonts w:hint="eastAsia" w:ascii="仿宋" w:hAnsi="仿宋" w:eastAsia="仿宋" w:cs="仿宋"/>
          <w:sz w:val="30"/>
          <w:szCs w:val="30"/>
        </w:rPr>
      </w:pPr>
      <w:r>
        <w:rPr>
          <w:rFonts w:hint="eastAsia" w:ascii="仿宋" w:hAnsi="仿宋" w:eastAsia="仿宋" w:cs="仿宋"/>
          <w:b/>
          <w:sz w:val="28"/>
          <w:szCs w:val="28"/>
          <w:lang w:val="en-US" w:eastAsia="zh-CN"/>
          <w:highlight w:val="yellow"/>
        </w:rPr>
        <w:t>明康汇：从“被动应对”到“主动防控”——标品异物治理项目的升级与突破</w:t>
      </w:r>
    </w:p>
    <w:p>
      <w:r>
        <w:rPr>
          <w:rFonts w:eastAsia="宋体"/>
          <w:sz w:val="18"/>
        </w:rPr>
        <w:t>（该案例入编CCFA2026年食品安全与质量提升创新实践案例集——生产与加工环节创新方向）</w:t>
      </w:r>
    </w:p>
    <w:p w14:paraId="314F14E1">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highlight w:val="yellow"/>
        </w:rPr>
        <w:t>一、案例背景</w:t>
      </w:r>
    </w:p>
    <w:p w14:paraId="28BDB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333333"/>
          <w:spacing w:val="-6"/>
          <w:sz w:val="28"/>
          <w:szCs w:val="28"/>
          <w:shd w:val="clear" w:color="auto" w:fill="FFFFFF"/>
        </w:rPr>
      </w:pPr>
      <w:r>
        <w:rPr>
          <w:rFonts w:hint="eastAsia" w:ascii="仿宋" w:hAnsi="仿宋" w:eastAsia="仿宋" w:cs="仿宋"/>
          <w:sz w:val="24"/>
          <w:szCs w:val="24"/>
        </w:rPr>
        <w:t>随着消费者对食品安全要求的不断提高，异物投诉成为影响企业品牌信誉与客户满意度的重要因素。2024年，明康汇社区便利店</w:t>
      </w:r>
      <w:r>
        <w:rPr>
          <w:rFonts w:hint="eastAsia" w:ascii="仿宋" w:hAnsi="仿宋" w:eastAsia="仿宋" w:cs="仿宋"/>
          <w:sz w:val="24"/>
          <w:szCs w:val="24"/>
          <w:lang w:val="en-US" w:eastAsia="zh-CN"/>
        </w:rPr>
        <w:t>的异物频发</w:t>
      </w:r>
      <w:r>
        <w:rPr>
          <w:rFonts w:hint="eastAsia" w:ascii="仿宋" w:hAnsi="仿宋" w:eastAsia="仿宋" w:cs="仿宋"/>
          <w:sz w:val="24"/>
          <w:szCs w:val="24"/>
        </w:rPr>
        <w:t>，严重影响了消费者体验与企业质量形象。异物类型涵盖毛发、虫害</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塑料</w:t>
      </w:r>
      <w:r>
        <w:rPr>
          <w:rFonts w:hint="eastAsia" w:ascii="仿宋" w:hAnsi="仿宋" w:eastAsia="仿宋" w:cs="仿宋"/>
          <w:sz w:val="24"/>
          <w:szCs w:val="24"/>
        </w:rPr>
        <w:t>等多种类型，多集中于豆制品、烘焙、米面制品。</w:t>
      </w:r>
    </w:p>
    <w:p w14:paraId="567D9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333333"/>
          <w:spacing w:val="-6"/>
          <w:sz w:val="28"/>
          <w:szCs w:val="28"/>
          <w:shd w:val="clear" w:color="auto" w:fill="FFFFFF"/>
        </w:rPr>
      </w:pPr>
      <w:r>
        <w:rPr>
          <w:rFonts w:hint="eastAsia" w:ascii="仿宋" w:hAnsi="仿宋" w:eastAsia="仿宋" w:cs="仿宋"/>
          <w:sz w:val="24"/>
          <w:szCs w:val="24"/>
        </w:rPr>
        <w:t>为应对这一挑战，明康汇食品安全管理</w:t>
      </w:r>
      <w:bookmarkStart w:id="9" w:name="_GoBack"/>
      <w:bookmarkEnd w:id="9"/>
      <w:r>
        <w:rPr>
          <w:rFonts w:hint="eastAsia" w:ascii="仿宋" w:hAnsi="仿宋" w:eastAsia="仿宋" w:cs="仿宋"/>
          <w:sz w:val="24"/>
          <w:szCs w:val="24"/>
        </w:rPr>
        <w:t>部联合标品</w:t>
      </w:r>
      <w:r>
        <w:rPr>
          <w:rFonts w:hint="eastAsia" w:ascii="仿宋" w:hAnsi="仿宋" w:eastAsia="仿宋" w:cs="仿宋"/>
          <w:sz w:val="24"/>
          <w:szCs w:val="24"/>
          <w:lang w:val="en-US" w:eastAsia="zh-CN"/>
        </w:rPr>
        <w:t>采销</w:t>
      </w:r>
      <w:r>
        <w:rPr>
          <w:rFonts w:hint="eastAsia" w:ascii="仿宋" w:hAnsi="仿宋" w:eastAsia="仿宋" w:cs="仿宋"/>
          <w:sz w:val="24"/>
          <w:szCs w:val="24"/>
        </w:rPr>
        <w:t>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供应商管理部</w:t>
      </w:r>
      <w:r>
        <w:rPr>
          <w:rFonts w:hint="eastAsia" w:ascii="仿宋" w:hAnsi="仿宋" w:eastAsia="仿宋" w:cs="仿宋"/>
          <w:sz w:val="24"/>
          <w:szCs w:val="24"/>
        </w:rPr>
        <w:t>启动</w:t>
      </w:r>
      <w:r>
        <w:rPr>
          <w:rFonts w:hint="eastAsia" w:ascii="仿宋" w:hAnsi="仿宋" w:eastAsia="仿宋" w:cs="仿宋"/>
          <w:sz w:val="24"/>
          <w:szCs w:val="24"/>
          <w:lang w:val="en-US" w:eastAsia="zh-CN"/>
        </w:rPr>
        <w:t>为期一年的</w:t>
      </w:r>
      <w:r>
        <w:rPr>
          <w:rFonts w:hint="eastAsia" w:ascii="仿宋" w:hAnsi="仿宋" w:eastAsia="仿宋" w:cs="仿宋"/>
          <w:sz w:val="24"/>
          <w:szCs w:val="24"/>
        </w:rPr>
        <w:t>“标品异物治理项目”，</w:t>
      </w:r>
      <w:r>
        <w:rPr>
          <w:rFonts w:hint="eastAsia" w:ascii="仿宋" w:hAnsi="仿宋" w:eastAsia="仿宋" w:cs="仿宋"/>
          <w:sz w:val="24"/>
          <w:szCs w:val="24"/>
          <w:lang w:val="en-US" w:eastAsia="zh-CN"/>
        </w:rPr>
        <w:t>明确阶段方向与目标（全年异物客诉≤3.5ppm），</w:t>
      </w:r>
      <w:r>
        <w:rPr>
          <w:rFonts w:hint="eastAsia" w:ascii="仿宋" w:hAnsi="仿宋" w:eastAsia="仿宋" w:cs="仿宋"/>
          <w:sz w:val="24"/>
          <w:szCs w:val="24"/>
        </w:rPr>
        <w:t>旨在系统提升供应商异物管控能力，建立健全长效管理机制，降低异物客诉率</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ppm，每100万件商品中出现异物客诉的频次）</w:t>
      </w:r>
      <w:r>
        <w:rPr>
          <w:rFonts w:hint="eastAsia" w:ascii="仿宋" w:hAnsi="仿宋" w:eastAsia="仿宋" w:cs="仿宋"/>
          <w:sz w:val="24"/>
          <w:szCs w:val="24"/>
        </w:rPr>
        <w:t>，保障产品质量与食品安全，支撑企业高质量发展战略。</w:t>
      </w:r>
    </w:p>
    <w:p w14:paraId="647FD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b w:val="0"/>
          <w:sz w:val="24"/>
          <w:szCs w:val="24"/>
          <w:lang w:val="en-US" w:eastAsia="zh-CN"/>
          <w:highlight w:val="yellow"/>
        </w:rPr>
        <w:t>为有效推进治理目标落地，明康汇制定了阶段性异物客诉目标并逐层拆解。2025年季度和月度异物客诉目标拆解比例如下：</w:t>
      </w:r>
    </w:p>
    <w:p w14:paraId="7D4DE07B">
      <w:pPr>
        <w:pStyle w:val="3"/>
        <w:shd w:val="clear" w:color="auto" w:fill="FFFFFF"/>
        <w:snapToGrid w:val="0"/>
        <w:spacing w:before="0" w:beforeAutospacing="0" w:after="0" w:afterAutospacing="0"/>
        <w:ind w:firstLine="578"/>
        <w:jc w:val="center"/>
        <w:rPr>
          <w:rFonts w:hint="eastAsia" w:ascii="仿宋" w:hAnsi="仿宋" w:eastAsia="仿宋" w:cs="仿宋"/>
          <w:color w:val="333333"/>
          <w:spacing w:val="-6"/>
          <w:sz w:val="28"/>
          <w:szCs w:val="28"/>
          <w:shd w:val="clear" w:color="auto" w:fill="FFFFFF"/>
          <w:lang w:val="en-US" w:eastAsia="zh-CN"/>
        </w:rPr>
      </w:pPr>
    </w:p>
    <w:tbl>
      <w:tblPr>
        <w:tblStyle w:val="4"/>
        <w:tblW w:w="47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79"/>
        <w:gridCol w:w="680"/>
        <w:gridCol w:w="680"/>
        <w:gridCol w:w="680"/>
        <w:gridCol w:w="680"/>
      </w:tblGrid>
      <w:tr w14:paraId="75E6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jc w:val="center"/>
        </w:trPr>
        <w:tc>
          <w:tcPr>
            <w:tcW w:w="2079"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5D54EF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季度</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52D61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Q1</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484EA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Q2</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280B0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Q3</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BD819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Q4</w:t>
            </w:r>
          </w:p>
        </w:tc>
      </w:tr>
      <w:tr w14:paraId="48FB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jc w:val="center"/>
        </w:trPr>
        <w:tc>
          <w:tcPr>
            <w:tcW w:w="207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F1FF7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lang w:val="en-US"/>
              </w:rPr>
            </w:pPr>
            <w:r>
              <w:rPr>
                <w:rFonts w:hint="eastAsia" w:ascii="仿宋" w:hAnsi="仿宋" w:eastAsia="仿宋" w:cs="仿宋"/>
                <w:kern w:val="0"/>
                <w:sz w:val="24"/>
                <w:szCs w:val="24"/>
                <w:lang w:val="en-US" w:eastAsia="zh-CN" w:bidi="ar"/>
              </w:rPr>
              <w:t>目标/ppm</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3EC7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3.9</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5F2E8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53EE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5059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3.5</w:t>
            </w:r>
          </w:p>
        </w:tc>
      </w:tr>
    </w:tbl>
    <w:p w14:paraId="72128D1D">
      <w:pPr>
        <w:pStyle w:val="3"/>
        <w:shd w:val="clear" w:color="auto" w:fill="FFFFFF"/>
        <w:snapToGrid w:val="0"/>
        <w:spacing w:before="0" w:beforeAutospacing="0" w:after="0" w:afterAutospacing="0"/>
        <w:ind w:firstLine="578"/>
        <w:jc w:val="center"/>
        <w:rPr>
          <w:rFonts w:hint="eastAsia" w:ascii="仿宋" w:hAnsi="仿宋" w:eastAsia="仿宋" w:cs="仿宋"/>
          <w:color w:val="333333"/>
          <w:spacing w:val="-6"/>
          <w:sz w:val="24"/>
          <w:szCs w:val="24"/>
          <w:shd w:val="clear" w:color="auto" w:fill="FFFFFF"/>
        </w:rPr>
      </w:pPr>
    </w:p>
    <w:tbl>
      <w:tblPr>
        <w:tblStyle w:val="4"/>
        <w:tblW w:w="9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91"/>
        <w:gridCol w:w="624"/>
        <w:gridCol w:w="624"/>
        <w:gridCol w:w="624"/>
        <w:gridCol w:w="624"/>
        <w:gridCol w:w="624"/>
        <w:gridCol w:w="624"/>
        <w:gridCol w:w="624"/>
        <w:gridCol w:w="624"/>
        <w:gridCol w:w="624"/>
        <w:gridCol w:w="624"/>
        <w:gridCol w:w="624"/>
        <w:gridCol w:w="624"/>
      </w:tblGrid>
      <w:tr w14:paraId="6A52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jc w:val="center"/>
        </w:trPr>
        <w:tc>
          <w:tcPr>
            <w:tcW w:w="1591"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C2DA8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月份</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D58B4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71BB0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2</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80FFB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24E569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25D9F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5</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690978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6</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602C2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7</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54157FE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8</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39C78D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9</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8B8AF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10</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7A720BC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11</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0B061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12</w:t>
            </w:r>
          </w:p>
        </w:tc>
      </w:tr>
      <w:tr w14:paraId="7F33D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jc w:val="center"/>
        </w:trPr>
        <w:tc>
          <w:tcPr>
            <w:tcW w:w="15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FAF0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lang w:val="en-US"/>
              </w:rPr>
            </w:pPr>
            <w:r>
              <w:rPr>
                <w:rFonts w:hint="eastAsia" w:ascii="仿宋" w:hAnsi="仿宋" w:eastAsia="仿宋" w:cs="仿宋"/>
                <w:kern w:val="0"/>
                <w:sz w:val="24"/>
                <w:szCs w:val="24"/>
                <w:lang w:val="en-US" w:eastAsia="zh-CN" w:bidi="ar"/>
              </w:rPr>
              <w:t>目标/ppm</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FD29D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129E0E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E0E2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342C7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3.1</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7478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A9889B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3.5</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2AC5F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3.7</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74898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3.8</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A669D4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A4851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6D13B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19A1E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r>
    </w:tbl>
    <w:p w14:paraId="3074CEA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仿宋" w:hAnsi="仿宋" w:eastAsia="仿宋" w:cs="仿宋"/>
          <w:sz w:val="24"/>
          <w:szCs w:val="24"/>
          <w:lang w:val="en-US" w:eastAsia="zh-CN"/>
        </w:rPr>
      </w:pPr>
    </w:p>
    <w:p w14:paraId="78A939E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b w:val="0"/>
          <w:sz w:val="24"/>
          <w:szCs w:val="24"/>
          <w:lang w:val="en-US" w:eastAsia="zh-CN"/>
          <w:highlight w:val="yellow"/>
        </w:rPr>
        <w:t>围绕上述目标，明康汇成立了专项项目组，明确职责分工如下：</w:t>
      </w:r>
    </w:p>
    <w:tbl>
      <w:tblPr>
        <w:tblStyle w:val="4"/>
        <w:tblW w:w="9072" w:type="dxa"/>
        <w:tblInd w:w="2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078"/>
        <w:gridCol w:w="6334"/>
      </w:tblGrid>
      <w:tr w14:paraId="7D66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38" w:type="dxa"/>
            <w:gridSpan w:val="2"/>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4FBD8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rPr>
            </w:pPr>
            <w:r>
              <w:rPr>
                <w:rStyle w:val="7"/>
                <w:rFonts w:hint="eastAsia" w:ascii="仿宋" w:hAnsi="仿宋" w:eastAsia="仿宋" w:cs="仿宋"/>
                <w:b w:val="0"/>
                <w:bCs/>
                <w:kern w:val="0"/>
                <w:sz w:val="24"/>
                <w:szCs w:val="24"/>
                <w:lang w:val="en-US" w:eastAsia="zh-CN" w:bidi="ar"/>
              </w:rPr>
              <w:t>决策委员会</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247F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负责项目阶段的评审，对需要决议的事项作决策。</w:t>
            </w:r>
          </w:p>
        </w:tc>
      </w:tr>
      <w:tr w14:paraId="429C2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738" w:type="dxa"/>
            <w:gridSpan w:val="2"/>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0CEC53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项目组长</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15CF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负责项目阶段方案的制定，推动项目开展。</w:t>
            </w:r>
          </w:p>
        </w:tc>
      </w:tr>
      <w:tr w14:paraId="23AE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0" w:type="dxa"/>
            <w:vMerge w:val="restart"/>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016020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rPr>
            </w:pPr>
            <w:r>
              <w:rPr>
                <w:rStyle w:val="7"/>
                <w:rFonts w:hint="eastAsia" w:ascii="仿宋" w:hAnsi="仿宋" w:eastAsia="仿宋" w:cs="仿宋"/>
                <w:b w:val="0"/>
                <w:bCs/>
                <w:kern w:val="0"/>
                <w:sz w:val="24"/>
                <w:szCs w:val="24"/>
                <w:lang w:val="en-US" w:eastAsia="zh-CN" w:bidi="ar"/>
              </w:rPr>
              <w:t>项目成员</w:t>
            </w:r>
          </w:p>
        </w:tc>
        <w:tc>
          <w:tcPr>
            <w:tcW w:w="2078" w:type="dxa"/>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14960E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标品采销部</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60C4D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负责质量异物专项任务、质量异物客诉整改纠偏、审核项目整改邮件的下发与回执的收集。</w:t>
            </w:r>
          </w:p>
        </w:tc>
      </w:tr>
      <w:tr w14:paraId="05773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0" w:type="dxa"/>
            <w:vMerge w:val="continue"/>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31CB517A">
            <w:pPr>
              <w:jc w:val="center"/>
              <w:rPr>
                <w:rFonts w:hint="eastAsia" w:ascii="仿宋" w:hAnsi="仿宋" w:eastAsia="仿宋" w:cs="仿宋"/>
                <w:b w:val="0"/>
                <w:bCs/>
                <w:sz w:val="24"/>
                <w:szCs w:val="24"/>
              </w:rPr>
            </w:pPr>
          </w:p>
        </w:tc>
        <w:tc>
          <w:tcPr>
            <w:tcW w:w="2078" w:type="dxa"/>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7AABA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供应商管理部</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A672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负责组织供应商质量约谈、供应商月度评价。</w:t>
            </w:r>
          </w:p>
        </w:tc>
      </w:tr>
    </w:tbl>
    <w:p w14:paraId="7E96F58B">
      <w:pPr>
        <w:rPr>
          <w:rFonts w:hint="eastAsia" w:ascii="仿宋" w:hAnsi="仿宋" w:eastAsia="仿宋" w:cs="仿宋"/>
          <w:sz w:val="32"/>
          <w:szCs w:val="32"/>
        </w:rPr>
      </w:pPr>
    </w:p>
    <w:p w14:paraId="03C63C51">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highlight w:val="yellow"/>
        </w:rPr>
        <w:t>二、实施过程与路径</w:t>
      </w:r>
    </w:p>
    <w:p w14:paraId="10B0EF98">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实施周期与流程</w:t>
      </w:r>
    </w:p>
    <w:p w14:paraId="3C2425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为提升标品质量安全水平，明康汇于2024年12月启动标品异物治理专项项目，遵循“打基础—建标准—严审核—强培训—专项治理—持续监控”六步推进法，构建覆盖供应商准入、过程管控、终端防控的全链条异物治理体系。</w:t>
      </w:r>
    </w:p>
    <w:p w14:paraId="37307E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项目启动之初，明康汇于2024年12月组织大型线下异物专题研讨会，特邀专家面向所有标品供应商品控团队开展专项培训，深入剖析防控难点与应对方法，为后续工作奠定了思想与协作基础。</w:t>
      </w:r>
    </w:p>
    <w:p w14:paraId="149EB8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2025年1月，明康汇升级标品供应商审核基准，新增异物管控专项75分合格要求，从源头强化刚性约束。2月，进一步明确二方审核员须具备BRC/FSSC专业认证或8年以上食品行业审核经验，以确保审核专业性。2025年3月至8月，结合季度异物发生趋势，明康汇有序开展系列专项治理活动，包括毛发异物管控专项、标品异物管控良好实践案例评比、供应商夏季食安动员大会、金检机有效性验证专项、虫害管控自查专项等。活动中系统输出异物来源分析与防控方法，并对供应商的学习成果及实践落实情况进行考核；对管控不足者下达限期整改通知，逾期未达标则暂停供货资格。除专项治理外，明康汇还持续推进监控、复盘及良好实践案例的推广工作。</w:t>
      </w:r>
    </w:p>
    <w:p w14:paraId="770A2D22">
      <w:pPr>
        <w:jc w:val="both"/>
        <w:rPr>
          <w:rFonts w:hint="eastAsia" w:ascii="仿宋" w:hAnsi="仿宋" w:eastAsia="仿宋" w:cs="仿宋"/>
          <w:sz w:val="28"/>
          <w:szCs w:val="28"/>
          <w:lang w:val="en-US" w:eastAsia="zh-CN"/>
        </w:rPr>
      </w:pPr>
      <w:r>
        <w:rPr>
          <w:rFonts w:hint="eastAsia" w:ascii="仿宋" w:hAnsi="仿宋" w:eastAsia="仿宋" w:cs="仿宋"/>
        </w:rPr>
        <w:drawing>
          <wp:anchor distT="0" distB="0" distL="114300" distR="114300" simplePos="0" relativeHeight="251659264" behindDoc="0" locked="0" layoutInCell="1" allowOverlap="1">
            <wp:simplePos x="0" y="0"/>
            <wp:positionH relativeFrom="column">
              <wp:posOffset>917575</wp:posOffset>
            </wp:positionH>
            <wp:positionV relativeFrom="paragraph">
              <wp:posOffset>222250</wp:posOffset>
            </wp:positionV>
            <wp:extent cx="3996055" cy="2997200"/>
            <wp:effectExtent l="0" t="0" r="12065" b="508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3996055" cy="2997200"/>
                    </a:xfrm>
                    <a:prstGeom prst="rect">
                      <a:avLst/>
                    </a:prstGeom>
                    <a:noFill/>
                    <a:ln>
                      <a:noFill/>
                    </a:ln>
                  </pic:spPr>
                </pic:pic>
              </a:graphicData>
            </a:graphic>
          </wp:anchor>
        </w:drawing>
      </w:r>
    </w:p>
    <w:p w14:paraId="44636125">
      <w:pPr>
        <w:rPr>
          <w:rFonts w:hint="eastAsia" w:ascii="仿宋" w:hAnsi="仿宋" w:eastAsia="仿宋" w:cs="仿宋"/>
          <w:sz w:val="28"/>
          <w:szCs w:val="28"/>
          <w:lang w:val="en-US" w:eastAsia="zh-CN"/>
        </w:rPr>
      </w:pPr>
    </w:p>
    <w:p w14:paraId="38CCC239">
      <w:pPr>
        <w:rPr>
          <w:rFonts w:hint="eastAsia" w:ascii="仿宋" w:hAnsi="仿宋" w:eastAsia="仿宋" w:cs="仿宋"/>
          <w:sz w:val="28"/>
          <w:szCs w:val="28"/>
          <w:lang w:val="en-US" w:eastAsia="zh-CN"/>
        </w:rPr>
      </w:pPr>
    </w:p>
    <w:p w14:paraId="2BE1DF18">
      <w:pPr>
        <w:rPr>
          <w:rFonts w:hint="eastAsia" w:ascii="仿宋" w:hAnsi="仿宋" w:eastAsia="仿宋" w:cs="仿宋"/>
          <w:sz w:val="28"/>
          <w:szCs w:val="28"/>
          <w:lang w:val="en-US" w:eastAsia="zh-CN"/>
        </w:rPr>
      </w:pPr>
    </w:p>
    <w:p w14:paraId="16CA4BD1">
      <w:pPr>
        <w:rPr>
          <w:rFonts w:hint="eastAsia" w:ascii="仿宋" w:hAnsi="仿宋" w:eastAsia="仿宋" w:cs="仿宋"/>
          <w:sz w:val="28"/>
          <w:szCs w:val="28"/>
          <w:lang w:val="en-US" w:eastAsia="zh-CN"/>
        </w:rPr>
      </w:pPr>
    </w:p>
    <w:p w14:paraId="5B49749C">
      <w:pPr>
        <w:rPr>
          <w:rFonts w:hint="eastAsia" w:ascii="仿宋" w:hAnsi="仿宋" w:eastAsia="仿宋" w:cs="仿宋"/>
          <w:sz w:val="28"/>
          <w:szCs w:val="28"/>
          <w:lang w:val="en-US" w:eastAsia="zh-CN"/>
        </w:rPr>
      </w:pPr>
    </w:p>
    <w:p w14:paraId="0EA19B61">
      <w:pPr>
        <w:rPr>
          <w:rFonts w:hint="eastAsia" w:ascii="仿宋" w:hAnsi="仿宋" w:eastAsia="仿宋" w:cs="仿宋"/>
          <w:sz w:val="28"/>
          <w:szCs w:val="28"/>
          <w:lang w:val="en-US" w:eastAsia="zh-CN"/>
        </w:rPr>
      </w:pPr>
    </w:p>
    <w:p w14:paraId="401DDDFA">
      <w:pPr>
        <w:rPr>
          <w:rFonts w:hint="eastAsia" w:ascii="仿宋" w:hAnsi="仿宋" w:eastAsia="仿宋" w:cs="仿宋"/>
          <w:sz w:val="28"/>
          <w:szCs w:val="28"/>
          <w:lang w:val="en-US" w:eastAsia="zh-CN"/>
        </w:rPr>
      </w:pPr>
    </w:p>
    <w:p w14:paraId="0317F5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仿宋" w:hAnsi="仿宋" w:eastAsia="仿宋" w:cs="仿宋"/>
          <w:sz w:val="21"/>
          <w:szCs w:val="21"/>
          <w:lang w:val="en-US" w:eastAsia="zh-CN"/>
        </w:rPr>
      </w:pPr>
    </w:p>
    <w:p w14:paraId="49DC03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（图1：线下异物专题研讨会）</w:t>
      </w:r>
    </w:p>
    <w:p w14:paraId="1A96DA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专项说明：2024年12月27日，明康汇与一起食安行联合举办食品安全异物专题研讨会，40余名供应商伙伴现场参加，共同探讨食品异物管控的最新进展与未来趋势，通过深入交流和知识分享，提升整个供应链的异物控制能力。</w:t>
      </w:r>
    </w:p>
    <w:p w14:paraId="5FEAD2F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仿宋" w:hAnsi="仿宋" w:eastAsia="仿宋" w:cs="仿宋"/>
          <w:sz w:val="21"/>
          <w:szCs w:val="21"/>
          <w:lang w:val="en-US" w:eastAsia="zh-CN"/>
        </w:rPr>
      </w:pPr>
    </w:p>
    <w:p w14:paraId="0313D35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仿宋" w:hAnsi="仿宋" w:eastAsia="仿宋" w:cs="仿宋"/>
          <w:sz w:val="21"/>
          <w:szCs w:val="21"/>
          <w:lang w:val="en-US" w:eastAsia="zh-CN"/>
        </w:rPr>
      </w:pPr>
    </w:p>
    <w:p w14:paraId="4DEA84A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仿宋" w:hAnsi="仿宋" w:eastAsia="仿宋" w:cs="仿宋"/>
          <w:sz w:val="21"/>
          <w:szCs w:val="21"/>
          <w:lang w:val="en-US" w:eastAsia="zh-CN"/>
        </w:rPr>
      </w:pPr>
    </w:p>
    <w:p w14:paraId="22F7473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rPr>
        <w:drawing>
          <wp:inline distT="0" distB="0" distL="114300" distR="114300">
            <wp:extent cx="5166995" cy="3141980"/>
            <wp:effectExtent l="0" t="0" r="381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166995" cy="3141980"/>
                    </a:xfrm>
                    <a:prstGeom prst="rect">
                      <a:avLst/>
                    </a:prstGeom>
                    <a:noFill/>
                    <a:ln>
                      <a:noFill/>
                    </a:ln>
                  </pic:spPr>
                </pic:pic>
              </a:graphicData>
            </a:graphic>
          </wp:inline>
        </w:drawing>
      </w:r>
    </w:p>
    <w:p w14:paraId="73D20C2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（图2：毛发管控专项活动）</w:t>
      </w:r>
    </w:p>
    <w:p w14:paraId="07DB47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lang w:eastAsia="zh-CN"/>
        </w:rPr>
      </w:pPr>
      <w:r>
        <w:rPr>
          <w:rFonts w:hint="eastAsia" w:ascii="仿宋" w:hAnsi="仿宋" w:eastAsia="仿宋" w:cs="仿宋"/>
          <w:sz w:val="21"/>
          <w:szCs w:val="21"/>
          <w:lang w:val="en-US" w:eastAsia="zh-CN"/>
        </w:rPr>
        <w:t>专项说明：2025年3月，明康汇向40余家供应商下发毛发管控专项活动PPT，要求各供应商指定一名品控负责人先行学习，随后组织生产班组开展现场培训，并提交培训照片、员工穿戴规范照片，同时完成毛发管理相关测试题，以此验证企业的学习成效。</w:t>
      </w:r>
    </w:p>
    <w:p w14:paraId="17F4F6AA">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360" w:lineRule="auto"/>
        <w:jc w:val="center"/>
        <w:textAlignment w:val="auto"/>
        <w:rPr>
          <w:rFonts w:hint="eastAsia" w:ascii="仿宋" w:hAnsi="仿宋" w:eastAsia="仿宋" w:cs="仿宋"/>
          <w:b/>
          <w:bCs/>
          <w:sz w:val="24"/>
          <w:szCs w:val="24"/>
          <w:lang w:val="en-US" w:eastAsia="zh-CN"/>
        </w:rPr>
      </w:pPr>
      <w:r>
        <w:rPr>
          <w:rFonts w:hint="eastAsia" w:ascii="仿宋" w:hAnsi="仿宋" w:eastAsia="仿宋" w:cs="仿宋"/>
        </w:rPr>
        <w:drawing>
          <wp:inline distT="0" distB="0" distL="114300" distR="114300">
            <wp:extent cx="4808220" cy="4399280"/>
            <wp:effectExtent l="0" t="0" r="6350"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808220" cy="4399280"/>
                    </a:xfrm>
                    <a:prstGeom prst="rect">
                      <a:avLst/>
                    </a:prstGeom>
                    <a:noFill/>
                    <a:ln>
                      <a:noFill/>
                    </a:ln>
                  </pic:spPr>
                </pic:pic>
              </a:graphicData>
            </a:graphic>
          </wp:inline>
        </w:drawing>
      </w:r>
    </w:p>
    <w:p w14:paraId="5F0907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（图3：金探有效性验证专项活动）</w:t>
      </w:r>
    </w:p>
    <w:p w14:paraId="005E0E04">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360" w:lineRule="auto"/>
        <w:ind w:firstLine="482" w:firstLineChars="200"/>
        <w:textAlignment w:val="auto"/>
        <w:rPr>
          <w:rFonts w:hint="eastAsia" w:ascii="仿宋" w:hAnsi="仿宋" w:eastAsia="仿宋" w:cs="仿宋"/>
          <w:b/>
          <w:bCs/>
          <w:sz w:val="24"/>
          <w:szCs w:val="24"/>
          <w:lang w:val="en-US" w:eastAsia="zh-CN"/>
        </w:rPr>
      </w:pPr>
    </w:p>
    <w:p w14:paraId="61D6CA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专项说明：2025年7月，明康汇向所有在供标品供应商下发金探有效性验证专项PPT，要求各供应商指定一名品控负责人先行学习，随后组织生产班组开展现场培训，并提交培训照片、员工操作视频，完成金探使用相关测试题。同时明康汇也结合企业历史客诉、审核情况及本次测试答题情况，随机抽查其金探实际使用视频，以此验证企业的学习成效。</w:t>
      </w:r>
    </w:p>
    <w:p w14:paraId="77301E93">
      <w:pPr>
        <w:jc w:val="center"/>
        <w:rPr>
          <w:rFonts w:hint="eastAsia" w:ascii="仿宋" w:hAnsi="仿宋" w:eastAsia="仿宋" w:cs="仿宋"/>
          <w:sz w:val="28"/>
          <w:szCs w:val="28"/>
        </w:rPr>
      </w:pPr>
      <w:r>
        <w:rPr>
          <w:rFonts w:hint="eastAsia" w:ascii="仿宋" w:hAnsi="仿宋" w:eastAsia="仿宋" w:cs="仿宋"/>
          <w:sz w:val="24"/>
          <w:szCs w:val="24"/>
        </w:rPr>
        <w:drawing>
          <wp:inline distT="0" distB="0" distL="114300" distR="114300">
            <wp:extent cx="304800" cy="304800"/>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eastAsia" w:ascii="仿宋" w:hAnsi="仿宋" w:eastAsia="仿宋" w:cs="仿宋"/>
          <w:sz w:val="28"/>
          <w:szCs w:val="28"/>
          <w:lang w:eastAsia="zh-CN"/>
        </w:rPr>
        <w:drawing>
          <wp:inline distT="0" distB="0" distL="114300" distR="114300">
            <wp:extent cx="1990090" cy="3540125"/>
            <wp:effectExtent l="0" t="0" r="6350" b="10795"/>
            <wp:docPr id="10" name="图片 10" descr="评比海报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评比海报 (1)"/>
                    <pic:cNvPicPr>
                      <a:picLocks noChangeAspect="1"/>
                    </pic:cNvPicPr>
                  </pic:nvPicPr>
                  <pic:blipFill>
                    <a:blip r:embed="rId10"/>
                    <a:stretch>
                      <a:fillRect/>
                    </a:stretch>
                  </pic:blipFill>
                  <pic:spPr>
                    <a:xfrm>
                      <a:off x="0" y="0"/>
                      <a:ext cx="1990090" cy="3540125"/>
                    </a:xfrm>
                    <a:prstGeom prst="rect">
                      <a:avLst/>
                    </a:prstGeom>
                  </pic:spPr>
                </pic:pic>
              </a:graphicData>
            </a:graphic>
          </wp:inline>
        </w:drawing>
      </w:r>
    </w:p>
    <w:p w14:paraId="218E2D3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（图4：标品异物管控良好实践评比）</w:t>
      </w:r>
    </w:p>
    <w:p w14:paraId="094EBA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highlight w:val="yellow"/>
        </w:rPr>
        <w:t>专项说明：2025年5月，明康汇向所有在供标品供应商发起标品异物管控良好实践案例征集工作。各供应商可基于自身实践经验提炼形成具有推广价值的学习案例，经企业各部门及行业专家联合评审，评选出前六名案例。案例将在专项会议上进行分享，为其他供应商提供学习借鉴。</w:t>
      </w:r>
    </w:p>
    <w:p w14:paraId="4F2C650A">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textAlignment w:val="auto"/>
        <w:rPr>
          <w:rFonts w:hint="eastAsia" w:ascii="仿宋" w:hAnsi="仿宋" w:eastAsia="仿宋" w:cs="仿宋"/>
          <w:b/>
          <w:bCs/>
          <w:color w:val="333333"/>
          <w:spacing w:val="-6"/>
          <w:sz w:val="24"/>
          <w:szCs w:val="24"/>
          <w:shd w:val="clear" w:color="auto" w:fill="FFFFFF"/>
          <w:lang w:val="en-US" w:eastAsia="zh-CN"/>
        </w:rPr>
      </w:pPr>
    </w:p>
    <w:p w14:paraId="3D54827A">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困难与应对</w:t>
      </w:r>
    </w:p>
    <w:p w14:paraId="1CDB41D5">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360" w:lineRule="auto"/>
        <w:ind w:firstLine="480" w:firstLineChars="200"/>
        <w:textAlignment w:val="auto"/>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highlight w:val="yellow"/>
        </w:rPr>
        <w:t>针对异物管控工作中面临的困难，明康汇制定了系统性的应对措施：一是针对部分供应商异物管控意识薄弱、整改配合度低的问题，明康汇通过建立分级处罚机制（恶性异物处罚 0.3-2 万元，一般异物处罚 0.05-1 万元）及关单机制，强化约束效力，倒逼供应商主动落实整改；二是针对供应商异物风险识别与管控能力不足的问题，明康汇采用 “诊断 + 培训” 一对一辅导模式，帮助供应商系统提升风险识别与过程管控能力；三是针对异物客诉数据分散、缺乏统一监控的问题，明康汇搭建了线上数据看板，实现异物数据实时可视化，并由标品质量负责人在项目群定时推送预警与月度复盘信息，实现问题的及时跟进与闭环管理；四是针对采购引入新供应商时异物意识薄弱的问题，明康汇通过专项要求，明确各品类采购需承担对应的异物客诉考核目标，从源头强化供应商准入环节的异物管控意识。</w:t>
      </w:r>
    </w:p>
    <w:p w14:paraId="4E07C35B">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highlight w:val="yellow"/>
        </w:rPr>
        <w:t>方法论与创新点</w:t>
      </w:r>
    </w:p>
    <w:p w14:paraId="10767C32">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360" w:lineRule="auto"/>
        <w:ind w:firstLine="480" w:firstLineChars="200"/>
        <w:textAlignment w:val="auto"/>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highlight w:val="yellow"/>
        </w:rPr>
        <w:t>在异物管控工作中，明康汇构建了一套系统化的实施路径与创新机制。方法论层面，以 “标准先行、审核驱动、专项突破、培训赋能、数据闭环” 为核心逻辑，构建全流程管控体系；在此基础上，同步推进多维度创新：管理创新上，建立异物客诉与供应商评级联动机制，实现供应商动态准入与退出；机制创新上，引入 “预警 — 关单 — 复盘” 的业务风险管控流程，确保问题快速响应与闭环处理；模式创新上，通过 “标品异物管控良好实践案例评比”，推动供应商间的经验共享与对标提升，形成持续改进的良性循环。</w:t>
      </w:r>
    </w:p>
    <w:p w14:paraId="4B61AC94">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highlight w:val="yellow"/>
        </w:rPr>
        <w:t>三、成果与价值</w:t>
      </w:r>
    </w:p>
    <w:p w14:paraId="08D1A424">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r>
    </w:p>
    <w:p w14:paraId="53E304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8"/>
          <w:szCs w:val="28"/>
        </w:rPr>
      </w:pPr>
      <w:r>
        <w:rPr>
          <w:rFonts w:hint="eastAsia" w:ascii="仿宋" w:hAnsi="仿宋" w:eastAsia="仿宋" w:cs="仿宋"/>
          <w:sz w:val="24"/>
          <w:szCs w:val="24"/>
          <w:lang w:val="en-US" w:eastAsia="zh-CN"/>
        </w:rPr>
        <w:t>建立了涵盖准入、审核、评级、处罚、培训、退出的全流程异物管控体系。实现了从“事后处理”到“事前预防、事中控制、事后复盘”的闭环管理。通过数据看板与月度目标分解，实现精细化、可视化管理。</w:t>
      </w:r>
    </w:p>
    <w:p w14:paraId="0DA6635E">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成效数据</w:t>
      </w:r>
    </w:p>
    <w:p w14:paraId="00618E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8"/>
          <w:szCs w:val="28"/>
          <w:highlight w:val="none"/>
        </w:rPr>
      </w:pPr>
      <w:r>
        <w:rPr>
          <w:rFonts w:hint="eastAsia" w:ascii="仿宋" w:hAnsi="仿宋" w:eastAsia="仿宋" w:cs="仿宋"/>
          <w:sz w:val="24"/>
          <w:szCs w:val="24"/>
          <w:highlight w:val="none"/>
          <w:lang w:val="en-US" w:eastAsia="zh-CN"/>
        </w:rPr>
        <w:t>2025全年异物客诉比例2.8ppm，较2024年下降35%。</w:t>
      </w:r>
    </w:p>
    <w:p w14:paraId="13F6D17D">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推广与复制价值</w:t>
      </w:r>
    </w:p>
    <w:p w14:paraId="030E83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本项目构建的异物治理体系具有较强的行业通用性与可复制性，尤其适用于连锁零售、食品加工、餐饮供应链等企业对异物管控要求高的场景。其核心价值包括：</w:t>
      </w:r>
    </w:p>
    <w:p w14:paraId="0466E5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标准化操作模板：</w:t>
      </w:r>
      <w:r>
        <w:rPr>
          <w:rFonts w:hint="eastAsia" w:ascii="仿宋" w:hAnsi="仿宋" w:eastAsia="仿宋" w:cs="仿宋"/>
          <w:sz w:val="24"/>
          <w:szCs w:val="24"/>
          <w:lang w:val="en-US" w:eastAsia="zh-CN"/>
        </w:rPr>
        <w:t>可供同类企业直接参考或适配使用。</w:t>
      </w:r>
    </w:p>
    <w:p w14:paraId="239B5F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w:t>
      </w:r>
      <w:r>
        <w:rPr>
          <w:rFonts w:hint="eastAsia" w:ascii="仿宋" w:hAnsi="仿宋" w:eastAsia="仿宋" w:cs="仿宋"/>
          <w:b/>
          <w:bCs/>
          <w:sz w:val="24"/>
          <w:szCs w:val="24"/>
          <w:lang w:val="en-US" w:eastAsia="zh-CN"/>
        </w:rPr>
        <w:t>数据驱动管理机制：</w:t>
      </w:r>
      <w:r>
        <w:rPr>
          <w:rFonts w:hint="eastAsia" w:ascii="仿宋" w:hAnsi="仿宋" w:eastAsia="仿宋" w:cs="仿宋"/>
          <w:sz w:val="24"/>
          <w:szCs w:val="24"/>
          <w:lang w:val="en-US" w:eastAsia="zh-CN"/>
        </w:rPr>
        <w:t>通过目标分解与实时看板，实现透明化、可量化的管理。</w:t>
      </w:r>
    </w:p>
    <w:p w14:paraId="26C3B5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eastAsia" w:ascii="仿宋" w:hAnsi="仿宋" w:eastAsia="仿宋" w:cs="仿宋"/>
          <w:b/>
          <w:bCs/>
          <w:sz w:val="24"/>
          <w:szCs w:val="24"/>
          <w:lang w:val="en-US" w:eastAsia="zh-CN"/>
        </w:rPr>
        <w:t>供应商协同模式：</w:t>
      </w:r>
      <w:r>
        <w:rPr>
          <w:rFonts w:hint="eastAsia" w:ascii="仿宋" w:hAnsi="仿宋" w:eastAsia="仿宋" w:cs="仿宋"/>
          <w:sz w:val="24"/>
          <w:szCs w:val="24"/>
          <w:lang w:val="en-US" w:eastAsia="zh-CN"/>
        </w:rPr>
        <w:t>通过培训、评比、约谈等方式，推动供应链整体能力提升。</w:t>
      </w:r>
    </w:p>
    <w:p w14:paraId="1FCC74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该项目不仅提升了明康汇的食品安全管理水平，也为行业提供了可借鉴的异物治理实践案例，具备广泛的推广价值。</w:t>
      </w:r>
    </w:p>
    <w:sectPr>
      <w:footerReference r:id="rId4" w:type="first"/>
      <w:footerReference r:id="rId3" w:type="default"/>
      <w:pgSz w:w="11906" w:h="16838"/>
      <w:pgMar w:top="851" w:right="1304" w:bottom="851" w:left="1304" w:header="851" w:footer="51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130126"/>
    </w:sdtPr>
    <w:sdtContent>
      <w:p w14:paraId="56F76F7E">
        <w:pPr>
          <w:pStyle w:val="2"/>
          <w:jc w:val="center"/>
        </w:pPr>
        <w:r>
          <w:fldChar w:fldCharType="begin"/>
        </w:r>
        <w:r>
          <w:instrText xml:space="preserve">PAGE   \* MERGEFORMAT</w:instrText>
        </w:r>
        <w:r>
          <w:fldChar w:fldCharType="separate"/>
        </w:r>
        <w:r>
          <w:rPr>
            <w:lang w:val="zh-CN"/>
          </w:rPr>
          <w:t>2</w:t>
        </w:r>
        <w:r>
          <w:fldChar w:fldCharType="end"/>
        </w:r>
      </w:p>
    </w:sdtContent>
  </w:sdt>
  <w:p w14:paraId="6D7D2B28">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D8790">
    <w:pPr>
      <w:pStyle w:val="2"/>
      <w:jc w:val="center"/>
    </w:pPr>
  </w:p>
  <w:p w14:paraId="7D0669DD">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BD7076"/>
    <w:multiLevelType w:val="singleLevel"/>
    <w:tmpl w:val="D6BD7076"/>
    <w:lvl w:ilvl="0" w:tentative="0">
      <w:start w:val="1"/>
      <w:numFmt w:val="decimal"/>
      <w:suff w:val="nothing"/>
      <w:lvlText w:val="（%1）"/>
      <w:lvlJc w:val="left"/>
    </w:lvl>
  </w:abstractNum>
  <w:abstractNum w:abstractNumId="1">
    <w:nsid w:val="E4EB3C48"/>
    <w:multiLevelType w:val="singleLevel"/>
    <w:tmpl w:val="E4EB3C48"/>
    <w:lvl w:ilvl="0" w:tentative="0">
      <w:start w:val="1"/>
      <w:numFmt w:val="chineseCounting"/>
      <w:suff w:val="nothing"/>
      <w:lvlText w:val="%1、"/>
      <w:lvlJc w:val="left"/>
      <w:rPr>
        <w:rFonts w:hint="eastAsia"/>
      </w:rPr>
    </w:lvl>
  </w:abstractNum>
  <w:abstractNum w:abstractNumId="2">
    <w:nsid w:val="F7FE029A"/>
    <w:multiLevelType w:val="singleLevel"/>
    <w:tmpl w:val="F7FE029A"/>
    <w:lvl w:ilvl="0" w:tentative="0">
      <w:start w:val="1"/>
      <w:numFmt w:val="chineseCounting"/>
      <w:suff w:val="nothing"/>
      <w:lvlText w:val="（%1）"/>
      <w:lvlJc w:val="left"/>
      <w:rPr>
        <w:rFonts w:hint="eastAsia"/>
      </w:rPr>
    </w:lvl>
  </w:abstractNum>
  <w:abstractNum w:abstractNumId="3">
    <w:nsid w:val="5E7D0BB8"/>
    <w:multiLevelType w:val="singleLevel"/>
    <w:tmpl w:val="5E7D0BB8"/>
    <w:lvl w:ilvl="0" w:tentative="0">
      <w:start w:val="1"/>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B37796"/>
    <w:rsid w:val="07F42620"/>
    <w:rsid w:val="089F29B3"/>
    <w:rsid w:val="0DCF1D61"/>
    <w:rsid w:val="0E6A098F"/>
    <w:rsid w:val="13A40A0B"/>
    <w:rsid w:val="14410CB9"/>
    <w:rsid w:val="14D707F5"/>
    <w:rsid w:val="180B2992"/>
    <w:rsid w:val="1BC05D1A"/>
    <w:rsid w:val="1E156D14"/>
    <w:rsid w:val="1E3429EF"/>
    <w:rsid w:val="1E5B7F7C"/>
    <w:rsid w:val="2136496E"/>
    <w:rsid w:val="21FF1EEB"/>
    <w:rsid w:val="2225728C"/>
    <w:rsid w:val="26911E79"/>
    <w:rsid w:val="2F436F36"/>
    <w:rsid w:val="32452FC5"/>
    <w:rsid w:val="33AB6E58"/>
    <w:rsid w:val="343F74DB"/>
    <w:rsid w:val="368D58BE"/>
    <w:rsid w:val="37B37796"/>
    <w:rsid w:val="37CD0448"/>
    <w:rsid w:val="3A854A54"/>
    <w:rsid w:val="3C552056"/>
    <w:rsid w:val="4B676B09"/>
    <w:rsid w:val="4FE8630A"/>
    <w:rsid w:val="50C32408"/>
    <w:rsid w:val="50E61077"/>
    <w:rsid w:val="553736C2"/>
    <w:rsid w:val="561346BC"/>
    <w:rsid w:val="572E7B25"/>
    <w:rsid w:val="6C094140"/>
    <w:rsid w:val="6CF52598"/>
    <w:rsid w:val="71770BD0"/>
    <w:rsid w:val="7F233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2784</Words>
  <Characters>2921</Characters>
  <Lines>0</Lines>
  <Paragraphs>0</Paragraphs>
  <TotalTime>104</TotalTime>
  <ScaleCrop>false</ScaleCrop>
  <LinksUpToDate>false</LinksUpToDate>
  <CharactersWithSpaces>2971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2025-08-23T13:19:00Z</dcterms:created>
  <dc:creator>泉琳</dc:creator>
  <cp:lastModifiedBy>泉琳</cp:lastModifiedBy>
  <dcterms:modified xsi:type="dcterms:W3CDTF">2026-05-06T03:30:02Z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8F5BAD3078D246AE9119C27E892F3C17_11</vt:lpwstr>
  </property>
  <property fmtid="{D5CDD505-2E9C-101B-9397-08002B2CF9AE}" pid="4" name="KSOTemplateDocerSaveRecord">
    <vt:lpwstr>eyJoZGlkIjoiZTI4MGE0MjMyYTBjMmIyMWM1NWZhYmQ0NmQ1MzA4ZWIiLCJ1c2VySWQiOiIxMDg3MjMzMDIyIn0=</vt:lpwstr>
  </property>
</Properties>
</file>