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035F9">
      <w:pPr>
        <w:spacing w:line="360" w:lineRule="auto"/>
        <w:jc w:val="left"/>
        <w:rPr>
          <w:rFonts w:hint="eastAsia" w:ascii="仿宋" w:hAnsi="仿宋" w:eastAsia="仿宋" w:cs="仿宋"/>
          <w:bCs/>
          <w:sz w:val="30"/>
          <w:szCs w:val="30"/>
        </w:rPr>
      </w:pPr>
      <w:r>
        <w:rPr>
          <w:rFonts w:hint="default" w:ascii="Calibri" w:hAnsi="Calibri" w:eastAsia="仿宋" w:cs="Calibri"/>
          <w:b/>
          <w:sz w:val="30"/>
          <w:szCs w:val="30"/>
        </w:rPr>
        <w:t>附件1：</w:t>
      </w:r>
    </w:p>
    <w:p w14:paraId="19574440">
      <w:pPr>
        <w:spacing w:line="360" w:lineRule="auto"/>
        <w:jc w:val="center"/>
        <w:rPr>
          <w:rFonts w:hint="eastAsia" w:ascii="仿宋" w:hAnsi="仿宋" w:eastAsia="仿宋" w:cs="仿宋"/>
          <w:b/>
          <w:sz w:val="36"/>
          <w:szCs w:val="36"/>
        </w:rPr>
      </w:pPr>
      <w:bookmarkStart w:id="0" w:name="OLE_LINK105"/>
      <w:r>
        <w:rPr>
          <w:rFonts w:hint="eastAsia" w:ascii="仿宋" w:hAnsi="仿宋" w:eastAsia="仿宋" w:cs="仿宋"/>
          <w:b/>
          <w:sz w:val="36"/>
          <w:szCs w:val="36"/>
        </w:rPr>
        <w:t>2025食</w:t>
      </w:r>
      <w:bookmarkStart w:id="1" w:name="OLE_LINK86"/>
      <w:r>
        <w:rPr>
          <w:rFonts w:hint="eastAsia" w:ascii="仿宋" w:hAnsi="仿宋" w:eastAsia="仿宋" w:cs="仿宋"/>
          <w:b/>
          <w:sz w:val="36"/>
          <w:szCs w:val="36"/>
        </w:rPr>
        <w:t>品</w:t>
      </w:r>
      <w:bookmarkStart w:id="2" w:name="OLE_LINK96"/>
      <w:r>
        <w:rPr>
          <w:rFonts w:hint="eastAsia" w:ascii="仿宋" w:hAnsi="仿宋" w:eastAsia="仿宋" w:cs="仿宋"/>
          <w:b/>
          <w:sz w:val="36"/>
          <w:szCs w:val="36"/>
        </w:rPr>
        <w:t>安全创新案</w:t>
      </w:r>
      <w:bookmarkEnd w:id="1"/>
      <w:r>
        <w:rPr>
          <w:rFonts w:hint="eastAsia" w:ascii="仿宋" w:hAnsi="仿宋" w:eastAsia="仿宋" w:cs="仿宋"/>
          <w:b/>
          <w:sz w:val="36"/>
          <w:szCs w:val="36"/>
        </w:rPr>
        <w:t>例申</w:t>
      </w:r>
      <w:bookmarkEnd w:id="2"/>
      <w:r>
        <w:rPr>
          <w:rFonts w:hint="eastAsia" w:ascii="仿宋" w:hAnsi="仿宋" w:eastAsia="仿宋" w:cs="仿宋"/>
          <w:b/>
          <w:sz w:val="36"/>
          <w:szCs w:val="36"/>
        </w:rPr>
        <w:t>报表</w:t>
      </w:r>
      <w:bookmarkEnd w:id="0"/>
    </w:p>
    <w:tbl>
      <w:tblPr>
        <w:tblStyle w:val="5"/>
        <w:tblW w:w="977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2281"/>
        <w:gridCol w:w="3240"/>
        <w:gridCol w:w="1559"/>
        <w:gridCol w:w="2696"/>
      </w:tblGrid>
      <w:tr w14:paraId="0C5468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28AC607F">
            <w:pPr>
              <w:jc w:val="center"/>
              <w:rPr>
                <w:rFonts w:hint="eastAsia" w:ascii="仿宋" w:hAnsi="仿宋" w:eastAsia="仿宋" w:cs="仿宋"/>
                <w:kern w:val="0"/>
                <w:sz w:val="28"/>
                <w:szCs w:val="28"/>
              </w:rPr>
            </w:pPr>
            <w:r>
              <w:rPr>
                <w:rFonts w:hint="eastAsia" w:ascii="仿宋" w:hAnsi="仿宋" w:eastAsia="仿宋" w:cs="仿宋"/>
                <w:kern w:val="0"/>
                <w:sz w:val="28"/>
                <w:szCs w:val="28"/>
              </w:rPr>
              <w:t>企业全称</w:t>
            </w:r>
          </w:p>
        </w:tc>
        <w:tc>
          <w:tcPr>
            <w:tcW w:w="7495" w:type="dxa"/>
            <w:gridSpan w:val="3"/>
            <w:vAlign w:val="center"/>
          </w:tcPr>
          <w:p w14:paraId="4D252A5E">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明康汇生态农业集团有限公司</w:t>
            </w:r>
          </w:p>
        </w:tc>
      </w:tr>
      <w:tr w14:paraId="0130C1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53945AA8">
            <w:pPr>
              <w:jc w:val="center"/>
              <w:rPr>
                <w:rFonts w:hint="eastAsia" w:ascii="仿宋" w:hAnsi="仿宋" w:eastAsia="仿宋" w:cs="仿宋"/>
                <w:kern w:val="0"/>
                <w:sz w:val="28"/>
                <w:szCs w:val="28"/>
              </w:rPr>
            </w:pPr>
            <w:r>
              <w:rPr>
                <w:rFonts w:hint="eastAsia" w:ascii="仿宋" w:hAnsi="仿宋" w:eastAsia="仿宋" w:cs="仿宋"/>
                <w:kern w:val="0"/>
                <w:sz w:val="28"/>
                <w:szCs w:val="28"/>
              </w:rPr>
              <w:t>联系人</w:t>
            </w:r>
          </w:p>
        </w:tc>
        <w:tc>
          <w:tcPr>
            <w:tcW w:w="3240" w:type="dxa"/>
            <w:vAlign w:val="center"/>
          </w:tcPr>
          <w:p w14:paraId="602F0AD7">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余品仪</w:t>
            </w:r>
          </w:p>
        </w:tc>
        <w:tc>
          <w:tcPr>
            <w:tcW w:w="1559" w:type="dxa"/>
            <w:vAlign w:val="center"/>
          </w:tcPr>
          <w:p w14:paraId="2AF0D20F">
            <w:pPr>
              <w:jc w:val="center"/>
              <w:rPr>
                <w:rFonts w:hint="eastAsia" w:ascii="仿宋" w:hAnsi="仿宋" w:eastAsia="仿宋" w:cs="仿宋"/>
                <w:kern w:val="0"/>
                <w:sz w:val="28"/>
                <w:szCs w:val="28"/>
              </w:rPr>
            </w:pPr>
            <w:bookmarkStart w:id="3" w:name="OLE_LINK82"/>
            <w:r>
              <w:rPr>
                <w:rFonts w:hint="eastAsia" w:ascii="仿宋" w:hAnsi="仿宋" w:eastAsia="仿宋" w:cs="仿宋"/>
                <w:kern w:val="0"/>
                <w:sz w:val="28"/>
                <w:szCs w:val="28"/>
              </w:rPr>
              <w:t>联系电话</w:t>
            </w:r>
            <w:bookmarkEnd w:id="3"/>
          </w:p>
        </w:tc>
        <w:tc>
          <w:tcPr>
            <w:tcW w:w="2696" w:type="dxa"/>
            <w:vAlign w:val="center"/>
          </w:tcPr>
          <w:p w14:paraId="7622C946">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13777364810</w:t>
            </w:r>
          </w:p>
        </w:tc>
      </w:tr>
      <w:tr w14:paraId="6BCCFD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4DEE9C50">
            <w:pPr>
              <w:jc w:val="center"/>
              <w:rPr>
                <w:rFonts w:hint="eastAsia" w:ascii="仿宋" w:hAnsi="仿宋" w:eastAsia="仿宋" w:cs="仿宋"/>
                <w:kern w:val="0"/>
                <w:sz w:val="28"/>
                <w:szCs w:val="28"/>
              </w:rPr>
            </w:pPr>
            <w:bookmarkStart w:id="4" w:name="OLE_LINK83" w:colFirst="0" w:colLast="2"/>
            <w:r>
              <w:rPr>
                <w:rFonts w:hint="eastAsia" w:ascii="仿宋" w:hAnsi="仿宋" w:eastAsia="仿宋" w:cs="仿宋"/>
                <w:kern w:val="0"/>
                <w:sz w:val="28"/>
                <w:szCs w:val="28"/>
              </w:rPr>
              <w:t>部门</w:t>
            </w:r>
          </w:p>
        </w:tc>
        <w:tc>
          <w:tcPr>
            <w:tcW w:w="3240" w:type="dxa"/>
            <w:vAlign w:val="center"/>
          </w:tcPr>
          <w:p w14:paraId="0363AACE">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食品安全管理部</w:t>
            </w:r>
          </w:p>
        </w:tc>
        <w:tc>
          <w:tcPr>
            <w:tcW w:w="1559" w:type="dxa"/>
            <w:vAlign w:val="center"/>
          </w:tcPr>
          <w:p w14:paraId="31E47D73">
            <w:pPr>
              <w:jc w:val="center"/>
              <w:rPr>
                <w:rFonts w:hint="eastAsia" w:ascii="仿宋" w:hAnsi="仿宋" w:eastAsia="仿宋" w:cs="仿宋"/>
                <w:kern w:val="0"/>
                <w:sz w:val="28"/>
                <w:szCs w:val="28"/>
              </w:rPr>
            </w:pPr>
            <w:r>
              <w:rPr>
                <w:rFonts w:hint="eastAsia" w:ascii="仿宋" w:hAnsi="仿宋" w:eastAsia="仿宋" w:cs="仿宋"/>
                <w:kern w:val="0"/>
                <w:sz w:val="28"/>
                <w:szCs w:val="28"/>
              </w:rPr>
              <w:t>职务</w:t>
            </w:r>
          </w:p>
        </w:tc>
        <w:tc>
          <w:tcPr>
            <w:tcW w:w="2696" w:type="dxa"/>
            <w:vAlign w:val="center"/>
          </w:tcPr>
          <w:p w14:paraId="712CA945">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食安保证高级经理</w:t>
            </w:r>
          </w:p>
        </w:tc>
      </w:tr>
      <w:tr w14:paraId="33FD0F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vAlign w:val="center"/>
          </w:tcPr>
          <w:p w14:paraId="4BB08E77">
            <w:pPr>
              <w:jc w:val="center"/>
              <w:rPr>
                <w:rFonts w:hint="eastAsia" w:ascii="仿宋" w:hAnsi="仿宋" w:eastAsia="仿宋" w:cs="仿宋"/>
                <w:kern w:val="0"/>
                <w:sz w:val="28"/>
                <w:szCs w:val="28"/>
              </w:rPr>
            </w:pPr>
            <w:bookmarkStart w:id="5" w:name="OLE_LINK10"/>
            <w:r>
              <w:rPr>
                <w:rFonts w:hint="eastAsia" w:ascii="仿宋" w:hAnsi="仿宋" w:eastAsia="仿宋" w:cs="仿宋"/>
                <w:kern w:val="0"/>
                <w:sz w:val="28"/>
                <w:szCs w:val="28"/>
              </w:rPr>
              <w:t>案例1</w:t>
            </w:r>
          </w:p>
        </w:tc>
      </w:tr>
      <w:bookmarkEnd w:id="4"/>
      <w:tr w14:paraId="1A6A17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55430470">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bookmarkEnd w:id="5"/>
          </w:p>
        </w:tc>
        <w:tc>
          <w:tcPr>
            <w:tcW w:w="7495" w:type="dxa"/>
            <w:gridSpan w:val="3"/>
            <w:vAlign w:val="center"/>
          </w:tcPr>
          <w:p w14:paraId="5552C644">
            <w:pPr>
              <w:jc w:val="center"/>
              <w:rPr>
                <w:rFonts w:hint="eastAsia" w:ascii="仿宋" w:hAnsi="仿宋" w:eastAsia="仿宋" w:cs="仿宋"/>
                <w:kern w:val="0"/>
                <w:sz w:val="28"/>
                <w:szCs w:val="28"/>
              </w:rPr>
            </w:pPr>
            <w:r>
              <w:rPr>
                <w:rFonts w:hint="eastAsia" w:ascii="仿宋" w:hAnsi="仿宋" w:eastAsia="仿宋" w:cs="仿宋"/>
                <w:kern w:val="0"/>
                <w:sz w:val="24"/>
                <w:szCs w:val="24"/>
              </w:rPr>
              <w:t>从“被动应对”到“主动防控”</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标品异物治理项目的升级与突破</w:t>
            </w:r>
          </w:p>
        </w:tc>
      </w:tr>
      <w:tr w14:paraId="594D59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3C2052DD">
            <w:pPr>
              <w:snapToGrid w:val="0"/>
              <w:jc w:val="center"/>
              <w:rPr>
                <w:rFonts w:hint="eastAsia" w:ascii="仿宋" w:hAnsi="仿宋" w:eastAsia="仿宋" w:cs="仿宋"/>
                <w:kern w:val="0"/>
                <w:sz w:val="28"/>
                <w:szCs w:val="28"/>
              </w:rPr>
            </w:pPr>
            <w:bookmarkStart w:id="6" w:name="OLE_LINK92" w:colFirst="1" w:colLast="2"/>
            <w:bookmarkStart w:id="7" w:name="OLE_LINK88"/>
            <w:bookmarkStart w:id="8" w:name="OLE_LINK85"/>
            <w:r>
              <w:rPr>
                <w:rFonts w:hint="eastAsia" w:ascii="仿宋" w:hAnsi="仿宋" w:eastAsia="仿宋" w:cs="仿宋"/>
                <w:kern w:val="0"/>
                <w:sz w:val="28"/>
                <w:szCs w:val="28"/>
              </w:rPr>
              <w:t>申报方向</w:t>
            </w:r>
          </w:p>
          <w:p w14:paraId="7E2D3A33">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vAlign w:val="center"/>
          </w:tcPr>
          <w:p w14:paraId="0C50BA8F">
            <w:pPr>
              <w:jc w:val="center"/>
              <w:rPr>
                <w:rFonts w:hint="eastAsia" w:ascii="仿宋" w:hAnsi="仿宋" w:eastAsia="仿宋" w:cs="仿宋"/>
                <w:kern w:val="0"/>
                <w:sz w:val="28"/>
                <w:szCs w:val="28"/>
              </w:rPr>
            </w:pP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三</w:t>
            </w:r>
            <w:r>
              <w:rPr>
                <w:rFonts w:hint="eastAsia" w:ascii="仿宋" w:hAnsi="仿宋" w:eastAsia="仿宋" w:cs="仿宋"/>
                <w:kern w:val="0"/>
                <w:sz w:val="28"/>
                <w:szCs w:val="28"/>
              </w:rPr>
              <w:t>）</w:t>
            </w:r>
            <w:r>
              <w:rPr>
                <w:rFonts w:hint="eastAsia" w:ascii="仿宋" w:hAnsi="仿宋" w:eastAsia="仿宋" w:cs="仿宋"/>
                <w:color w:val="333333"/>
                <w:spacing w:val="-6"/>
                <w:sz w:val="28"/>
                <w:szCs w:val="28"/>
                <w:shd w:val="clear" w:color="auto" w:fill="FFFFFF"/>
              </w:rPr>
              <w:t>生产与加工环节创新</w:t>
            </w:r>
          </w:p>
        </w:tc>
      </w:tr>
      <w:tr w14:paraId="5DD4F2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2265FAE8">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vAlign w:val="center"/>
          </w:tcPr>
          <w:p w14:paraId="62C69545">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lang w:eastAsia="zh-CN"/>
              </w:rPr>
              <w:t>☑</w:t>
            </w:r>
            <w:r>
              <w:rPr>
                <w:rFonts w:hint="eastAsia" w:ascii="仿宋" w:hAnsi="仿宋" w:eastAsia="仿宋" w:cs="仿宋"/>
                <w:kern w:val="0"/>
                <w:sz w:val="28"/>
                <w:szCs w:val="28"/>
              </w:rPr>
              <w:t xml:space="preserve"> 仅文字    □ 仅视频    □ 文字与视频结合</w:t>
            </w:r>
          </w:p>
        </w:tc>
      </w:tr>
      <w:tr w14:paraId="2F9C2B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70939D12">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vAlign w:val="center"/>
          </w:tcPr>
          <w:p w14:paraId="5E8632F4">
            <w:pPr>
              <w:jc w:val="center"/>
              <w:rPr>
                <w:rFonts w:hint="eastAsia" w:ascii="仿宋" w:hAnsi="仿宋" w:eastAsia="仿宋" w:cs="仿宋"/>
                <w:kern w:val="0"/>
                <w:sz w:val="28"/>
                <w:szCs w:val="28"/>
              </w:rPr>
            </w:pPr>
          </w:p>
        </w:tc>
      </w:tr>
      <w:tr w14:paraId="5956BC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shd w:val="clear" w:color="auto" w:fill="auto"/>
            <w:vAlign w:val="center"/>
          </w:tcPr>
          <w:p w14:paraId="72065804">
            <w:pPr>
              <w:jc w:val="center"/>
              <w:rPr>
                <w:rFonts w:hint="eastAsia" w:ascii="仿宋" w:hAnsi="仿宋" w:eastAsia="仿宋" w:cs="仿宋"/>
                <w:kern w:val="0"/>
                <w:sz w:val="28"/>
                <w:szCs w:val="28"/>
              </w:rPr>
            </w:pPr>
            <w:r>
              <w:rPr>
                <w:rFonts w:hint="eastAsia" w:ascii="仿宋" w:hAnsi="仿宋" w:eastAsia="仿宋" w:cs="仿宋"/>
                <w:kern w:val="0"/>
                <w:sz w:val="28"/>
                <w:szCs w:val="28"/>
              </w:rPr>
              <w:t>案例2</w:t>
            </w:r>
          </w:p>
        </w:tc>
      </w:tr>
      <w:tr w14:paraId="27AB24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69FB2A9">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p>
        </w:tc>
        <w:tc>
          <w:tcPr>
            <w:tcW w:w="7495" w:type="dxa"/>
            <w:gridSpan w:val="3"/>
            <w:shd w:val="clear" w:color="auto" w:fill="auto"/>
            <w:vAlign w:val="center"/>
          </w:tcPr>
          <w:p w14:paraId="3F14CAA9">
            <w:pPr>
              <w:jc w:val="center"/>
              <w:rPr>
                <w:rFonts w:hint="eastAsia" w:ascii="仿宋" w:hAnsi="仿宋" w:eastAsia="仿宋" w:cs="仿宋"/>
                <w:kern w:val="0"/>
                <w:sz w:val="28"/>
                <w:szCs w:val="28"/>
              </w:rPr>
            </w:pPr>
          </w:p>
        </w:tc>
      </w:tr>
      <w:tr w14:paraId="185D05F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4209870">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申报方向</w:t>
            </w:r>
          </w:p>
          <w:p w14:paraId="30F671B5">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shd w:val="clear" w:color="auto" w:fill="auto"/>
            <w:vAlign w:val="center"/>
          </w:tcPr>
          <w:p w14:paraId="0A406BD0">
            <w:pPr>
              <w:jc w:val="center"/>
              <w:rPr>
                <w:rFonts w:hint="eastAsia" w:ascii="仿宋" w:hAnsi="仿宋" w:eastAsia="仿宋" w:cs="仿宋"/>
                <w:kern w:val="0"/>
                <w:sz w:val="28"/>
                <w:szCs w:val="28"/>
              </w:rPr>
            </w:pPr>
          </w:p>
        </w:tc>
      </w:tr>
      <w:tr w14:paraId="2086C9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397C0C64">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shd w:val="clear" w:color="auto" w:fill="auto"/>
            <w:vAlign w:val="center"/>
          </w:tcPr>
          <w:p w14:paraId="26FB0CD6">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lang w:eastAsia="zh-CN"/>
              </w:rPr>
              <w:t>□</w:t>
            </w:r>
            <w:r>
              <w:rPr>
                <w:rFonts w:hint="eastAsia" w:ascii="仿宋" w:hAnsi="仿宋" w:eastAsia="仿宋" w:cs="仿宋"/>
                <w:kern w:val="0"/>
                <w:sz w:val="28"/>
                <w:szCs w:val="28"/>
              </w:rPr>
              <w:t xml:space="preserve"> 仅文字    □ 仅视频    □ 文字与视频结合</w:t>
            </w:r>
          </w:p>
        </w:tc>
      </w:tr>
      <w:tr w14:paraId="46B614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66EF01B">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shd w:val="clear" w:color="auto" w:fill="auto"/>
            <w:vAlign w:val="center"/>
          </w:tcPr>
          <w:p w14:paraId="0D64D95F">
            <w:pPr>
              <w:jc w:val="center"/>
              <w:rPr>
                <w:rFonts w:hint="eastAsia" w:ascii="仿宋" w:hAnsi="仿宋" w:eastAsia="仿宋" w:cs="仿宋"/>
                <w:kern w:val="0"/>
                <w:sz w:val="28"/>
                <w:szCs w:val="28"/>
              </w:rPr>
            </w:pPr>
          </w:p>
        </w:tc>
      </w:tr>
      <w:tr w14:paraId="6E8754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shd w:val="clear" w:color="auto" w:fill="auto"/>
            <w:vAlign w:val="center"/>
          </w:tcPr>
          <w:p w14:paraId="1C7B27D6">
            <w:pPr>
              <w:jc w:val="center"/>
              <w:rPr>
                <w:rFonts w:hint="eastAsia" w:ascii="仿宋" w:hAnsi="仿宋" w:eastAsia="仿宋" w:cs="仿宋"/>
                <w:kern w:val="0"/>
                <w:sz w:val="28"/>
                <w:szCs w:val="28"/>
              </w:rPr>
            </w:pPr>
            <w:r>
              <w:rPr>
                <w:rFonts w:hint="eastAsia" w:ascii="仿宋" w:hAnsi="仿宋" w:eastAsia="仿宋" w:cs="仿宋"/>
                <w:kern w:val="0"/>
                <w:sz w:val="28"/>
                <w:szCs w:val="28"/>
              </w:rPr>
              <w:t>案例3</w:t>
            </w:r>
          </w:p>
        </w:tc>
      </w:tr>
      <w:tr w14:paraId="3B381A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7E06BE8A">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p>
        </w:tc>
        <w:tc>
          <w:tcPr>
            <w:tcW w:w="7495" w:type="dxa"/>
            <w:gridSpan w:val="3"/>
            <w:shd w:val="clear" w:color="auto" w:fill="auto"/>
            <w:vAlign w:val="center"/>
          </w:tcPr>
          <w:p w14:paraId="5CA18D3A">
            <w:pPr>
              <w:jc w:val="center"/>
              <w:rPr>
                <w:rFonts w:hint="eastAsia" w:ascii="仿宋" w:hAnsi="仿宋" w:eastAsia="仿宋" w:cs="仿宋"/>
                <w:kern w:val="0"/>
                <w:sz w:val="28"/>
                <w:szCs w:val="28"/>
              </w:rPr>
            </w:pPr>
          </w:p>
        </w:tc>
      </w:tr>
      <w:tr w14:paraId="7EFDBC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A873667">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申报方向</w:t>
            </w:r>
          </w:p>
          <w:p w14:paraId="07224875">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shd w:val="clear" w:color="auto" w:fill="auto"/>
            <w:vAlign w:val="center"/>
          </w:tcPr>
          <w:p w14:paraId="4022580A">
            <w:pPr>
              <w:jc w:val="center"/>
              <w:rPr>
                <w:rFonts w:hint="eastAsia" w:ascii="仿宋" w:hAnsi="仿宋" w:eastAsia="仿宋" w:cs="仿宋"/>
                <w:kern w:val="0"/>
                <w:sz w:val="28"/>
                <w:szCs w:val="28"/>
              </w:rPr>
            </w:pPr>
          </w:p>
        </w:tc>
      </w:tr>
      <w:tr w14:paraId="1C87F75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904EE0E">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shd w:val="clear" w:color="auto" w:fill="auto"/>
            <w:vAlign w:val="center"/>
          </w:tcPr>
          <w:p w14:paraId="390D6A33">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rPr>
              <w:t>□ 仅文字    □ 仅视频    □ 文字与视频结合</w:t>
            </w:r>
          </w:p>
        </w:tc>
      </w:tr>
      <w:tr w14:paraId="382756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21D9C75A">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shd w:val="clear" w:color="auto" w:fill="auto"/>
            <w:vAlign w:val="center"/>
          </w:tcPr>
          <w:p w14:paraId="1472221D">
            <w:pPr>
              <w:jc w:val="center"/>
              <w:rPr>
                <w:rFonts w:hint="eastAsia" w:ascii="仿宋" w:hAnsi="仿宋" w:eastAsia="仿宋" w:cs="仿宋"/>
                <w:kern w:val="0"/>
                <w:sz w:val="28"/>
                <w:szCs w:val="28"/>
              </w:rPr>
            </w:pPr>
          </w:p>
        </w:tc>
      </w:tr>
      <w:bookmarkEnd w:id="6"/>
      <w:bookmarkEnd w:id="7"/>
      <w:bookmarkEnd w:id="8"/>
    </w:tbl>
    <w:p w14:paraId="77DA4075">
      <w:pPr>
        <w:pStyle w:val="3"/>
        <w:shd w:val="clear" w:color="auto" w:fill="FFFFFF"/>
        <w:snapToGrid w:val="0"/>
        <w:spacing w:before="0" w:beforeAutospacing="0" w:after="0" w:afterAutospacing="0"/>
        <w:ind w:firstLine="578"/>
        <w:jc w:val="both"/>
        <w:rPr>
          <w:rFonts w:hint="eastAsia" w:ascii="仿宋" w:hAnsi="仿宋" w:eastAsia="仿宋" w:cs="仿宋"/>
          <w:color w:val="333333"/>
          <w:spacing w:val="-6"/>
          <w:sz w:val="28"/>
          <w:szCs w:val="28"/>
          <w:shd w:val="clear" w:color="auto" w:fill="FFFFFF"/>
        </w:rPr>
      </w:pPr>
      <w:r>
        <w:rPr>
          <w:rFonts w:hint="eastAsia" w:ascii="仿宋" w:hAnsi="仿宋" w:eastAsia="仿宋" w:cs="仿宋"/>
          <w:color w:val="333333"/>
          <w:spacing w:val="-6"/>
          <w:sz w:val="28"/>
          <w:szCs w:val="28"/>
          <w:shd w:val="clear" w:color="auto" w:fill="FFFFFF"/>
        </w:rPr>
        <w:t>*申报方向：（一）管理体系与制度创新；（二）供应链与源头管控创新；（三）生产与加工环节创新；（四）流通与销售环节创新；（五）社会价值与公益项目。</w:t>
      </w:r>
    </w:p>
    <w:p w14:paraId="7A86BD5C">
      <w:pPr>
        <w:spacing w:line="360" w:lineRule="auto"/>
        <w:jc w:val="both"/>
        <w:rPr>
          <w:rFonts w:hint="eastAsia" w:ascii="仿宋" w:hAnsi="仿宋" w:eastAsia="仿宋" w:cs="仿宋"/>
          <w:b/>
          <w:sz w:val="36"/>
          <w:szCs w:val="36"/>
        </w:rPr>
      </w:pPr>
    </w:p>
    <w:p w14:paraId="34B33ECA">
      <w:pPr>
        <w:keepNext w:val="0"/>
        <w:keepLines w:val="0"/>
        <w:pageBreakBefore w:val="0"/>
        <w:kinsoku/>
        <w:wordWrap/>
        <w:overflowPunct/>
        <w:topLinePunct w:val="0"/>
        <w:autoSpaceDE/>
        <w:autoSpaceDN/>
        <w:bidi w:val="0"/>
        <w:adjustRightInd/>
        <w:spacing w:line="300" w:lineRule="auto"/>
        <w:jc w:val="left"/>
        <w:textAlignment w:val="auto"/>
        <w:rPr>
          <w:rFonts w:hint="eastAsia" w:ascii="仿宋" w:hAnsi="仿宋" w:eastAsia="仿宋" w:cs="仿宋"/>
          <w:bCs/>
          <w:sz w:val="30"/>
          <w:szCs w:val="30"/>
        </w:rPr>
      </w:pPr>
      <w:r>
        <w:rPr>
          <w:rFonts w:hint="eastAsia" w:ascii="仿宋" w:hAnsi="仿宋" w:eastAsia="仿宋" w:cs="仿宋"/>
          <w:b/>
          <w:sz w:val="30"/>
          <w:szCs w:val="30"/>
        </w:rPr>
        <w:t>附件2：</w:t>
      </w:r>
    </w:p>
    <w:p w14:paraId="321D4C31">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b/>
          <w:sz w:val="36"/>
          <w:szCs w:val="36"/>
        </w:rPr>
      </w:pPr>
      <w:r>
        <w:rPr>
          <w:rFonts w:hint="eastAsia" w:ascii="仿宋" w:hAnsi="仿宋" w:eastAsia="仿宋" w:cs="仿宋"/>
          <w:b/>
          <w:sz w:val="36"/>
          <w:szCs w:val="36"/>
        </w:rPr>
        <w:t>案例编写</w:t>
      </w:r>
    </w:p>
    <w:p w14:paraId="5F6EED05">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sz w:val="30"/>
          <w:szCs w:val="30"/>
        </w:rPr>
      </w:pPr>
      <w:r>
        <w:rPr>
          <w:rFonts w:hint="eastAsia" w:ascii="仿宋" w:hAnsi="仿宋" w:eastAsia="仿宋" w:cs="仿宋"/>
          <w:b/>
          <w:sz w:val="28"/>
          <w:szCs w:val="28"/>
          <w:lang w:val="en-US" w:eastAsia="zh-CN"/>
        </w:rPr>
        <w:t>-从“被动应对”到“主动防控”，标品异物治理项目的升级与突破</w:t>
      </w:r>
    </w:p>
    <w:p w14:paraId="314F14E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案例背景</w:t>
      </w:r>
    </w:p>
    <w:p w14:paraId="28BDB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r>
        <w:rPr>
          <w:rFonts w:hint="eastAsia" w:ascii="仿宋" w:hAnsi="仿宋" w:eastAsia="仿宋" w:cs="仿宋"/>
          <w:sz w:val="24"/>
          <w:szCs w:val="24"/>
        </w:rPr>
        <w:t>随着消费者对食品安全要求的不断提高，异物投诉成为影响企业品牌信誉与客户满意度的重要因素。2024年，明康汇社区便利店</w:t>
      </w:r>
      <w:r>
        <w:rPr>
          <w:rFonts w:hint="eastAsia" w:ascii="仿宋" w:hAnsi="仿宋" w:eastAsia="仿宋" w:cs="仿宋"/>
          <w:sz w:val="24"/>
          <w:szCs w:val="24"/>
          <w:lang w:val="en-US" w:eastAsia="zh-CN"/>
        </w:rPr>
        <w:t>的异物频发</w:t>
      </w:r>
      <w:r>
        <w:rPr>
          <w:rFonts w:hint="eastAsia" w:ascii="仿宋" w:hAnsi="仿宋" w:eastAsia="仿宋" w:cs="仿宋"/>
          <w:sz w:val="24"/>
          <w:szCs w:val="24"/>
        </w:rPr>
        <w:t>，严重影响了消费者体验与企业质量形象。异物类型涵盖毛发、虫害</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塑料</w:t>
      </w:r>
      <w:r>
        <w:rPr>
          <w:rFonts w:hint="eastAsia" w:ascii="仿宋" w:hAnsi="仿宋" w:eastAsia="仿宋" w:cs="仿宋"/>
          <w:sz w:val="24"/>
          <w:szCs w:val="24"/>
        </w:rPr>
        <w:t>等多种类型，多集中于豆制品、烘焙、米面制品。</w:t>
      </w:r>
    </w:p>
    <w:p w14:paraId="567D9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r>
        <w:rPr>
          <w:rFonts w:hint="eastAsia" w:ascii="仿宋" w:hAnsi="仿宋" w:eastAsia="仿宋" w:cs="仿宋"/>
          <w:sz w:val="24"/>
          <w:szCs w:val="24"/>
        </w:rPr>
        <w:t>为应对这一挑战，明康汇食品安全管理</w:t>
      </w:r>
      <w:bookmarkStart w:id="9" w:name="_GoBack"/>
      <w:bookmarkEnd w:id="9"/>
      <w:r>
        <w:rPr>
          <w:rFonts w:hint="eastAsia" w:ascii="仿宋" w:hAnsi="仿宋" w:eastAsia="仿宋" w:cs="仿宋"/>
          <w:sz w:val="24"/>
          <w:szCs w:val="24"/>
        </w:rPr>
        <w:t>部联合标品</w:t>
      </w:r>
      <w:r>
        <w:rPr>
          <w:rFonts w:hint="eastAsia" w:ascii="仿宋" w:hAnsi="仿宋" w:eastAsia="仿宋" w:cs="仿宋"/>
          <w:sz w:val="24"/>
          <w:szCs w:val="24"/>
          <w:lang w:val="en-US" w:eastAsia="zh-CN"/>
        </w:rPr>
        <w:t>采销</w:t>
      </w:r>
      <w:r>
        <w:rPr>
          <w:rFonts w:hint="eastAsia" w:ascii="仿宋" w:hAnsi="仿宋" w:eastAsia="仿宋" w:cs="仿宋"/>
          <w:sz w:val="24"/>
          <w:szCs w:val="24"/>
        </w:rPr>
        <w:t>部</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供应商管理部</w:t>
      </w:r>
      <w:r>
        <w:rPr>
          <w:rFonts w:hint="eastAsia" w:ascii="仿宋" w:hAnsi="仿宋" w:eastAsia="仿宋" w:cs="仿宋"/>
          <w:sz w:val="24"/>
          <w:szCs w:val="24"/>
        </w:rPr>
        <w:t>启动</w:t>
      </w:r>
      <w:r>
        <w:rPr>
          <w:rFonts w:hint="eastAsia" w:ascii="仿宋" w:hAnsi="仿宋" w:eastAsia="仿宋" w:cs="仿宋"/>
          <w:sz w:val="24"/>
          <w:szCs w:val="24"/>
          <w:lang w:val="en-US" w:eastAsia="zh-CN"/>
        </w:rPr>
        <w:t>为期一年的</w:t>
      </w:r>
      <w:r>
        <w:rPr>
          <w:rFonts w:hint="eastAsia" w:ascii="仿宋" w:hAnsi="仿宋" w:eastAsia="仿宋" w:cs="仿宋"/>
          <w:sz w:val="24"/>
          <w:szCs w:val="24"/>
        </w:rPr>
        <w:t>“标品异物治理项目”，</w:t>
      </w:r>
      <w:r>
        <w:rPr>
          <w:rFonts w:hint="eastAsia" w:ascii="仿宋" w:hAnsi="仿宋" w:eastAsia="仿宋" w:cs="仿宋"/>
          <w:sz w:val="24"/>
          <w:szCs w:val="24"/>
          <w:lang w:val="en-US" w:eastAsia="zh-CN"/>
        </w:rPr>
        <w:t>明确阶段方向与目标（全年异物客诉≤3.5ppm），</w:t>
      </w:r>
      <w:r>
        <w:rPr>
          <w:rFonts w:hint="eastAsia" w:ascii="仿宋" w:hAnsi="仿宋" w:eastAsia="仿宋" w:cs="仿宋"/>
          <w:sz w:val="24"/>
          <w:szCs w:val="24"/>
        </w:rPr>
        <w:t>旨在系统提升供应商异物管控能力，建立健全长效管理机制，降低异物客诉率</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ppm，每100万件商品中出现异物客诉的频次）</w:t>
      </w:r>
      <w:r>
        <w:rPr>
          <w:rFonts w:hint="eastAsia" w:ascii="仿宋" w:hAnsi="仿宋" w:eastAsia="仿宋" w:cs="仿宋"/>
          <w:sz w:val="24"/>
          <w:szCs w:val="24"/>
        </w:rPr>
        <w:t>，保障产品质量与食品安全，支撑企业高质量发展战略。</w:t>
      </w:r>
    </w:p>
    <w:p w14:paraId="647FD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2025年季度和月度异物客诉目标拆解比例如下：</w:t>
      </w:r>
    </w:p>
    <w:p w14:paraId="7D4DE07B">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8"/>
          <w:szCs w:val="28"/>
          <w:shd w:val="clear" w:color="auto" w:fill="FFFFFF"/>
          <w:lang w:val="en-US" w:eastAsia="zh-CN"/>
        </w:rPr>
      </w:pPr>
    </w:p>
    <w:tbl>
      <w:tblPr>
        <w:tblStyle w:val="4"/>
        <w:tblW w:w="47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79"/>
        <w:gridCol w:w="680"/>
        <w:gridCol w:w="680"/>
        <w:gridCol w:w="680"/>
        <w:gridCol w:w="680"/>
      </w:tblGrid>
      <w:tr w14:paraId="75E6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D54EF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季度</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52D6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Q1</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484EA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Q2</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280B0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Q3</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BD819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Q4</w:t>
            </w:r>
          </w:p>
        </w:tc>
      </w:tr>
      <w:tr w14:paraId="48FB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F1FF7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3EC7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3.9</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5F2E8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53EE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5059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r>
    </w:tbl>
    <w:p w14:paraId="72128D1D">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4"/>
          <w:szCs w:val="24"/>
          <w:shd w:val="clear" w:color="auto" w:fill="FFFFFF"/>
        </w:rPr>
      </w:pPr>
    </w:p>
    <w:tbl>
      <w:tblPr>
        <w:tblStyle w:val="4"/>
        <w:tblW w:w="9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91"/>
        <w:gridCol w:w="624"/>
        <w:gridCol w:w="624"/>
        <w:gridCol w:w="624"/>
        <w:gridCol w:w="624"/>
        <w:gridCol w:w="624"/>
        <w:gridCol w:w="624"/>
        <w:gridCol w:w="624"/>
        <w:gridCol w:w="624"/>
        <w:gridCol w:w="624"/>
        <w:gridCol w:w="624"/>
        <w:gridCol w:w="624"/>
        <w:gridCol w:w="624"/>
      </w:tblGrid>
      <w:tr w14:paraId="6A52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C2DA8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月份</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D58B4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71BB0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2</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80FFB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24E569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25D9F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5</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69097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6</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602C2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7</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4157F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8</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39C78D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9</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8B8AF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10</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7A720B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0B061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12</w:t>
            </w:r>
          </w:p>
        </w:tc>
      </w:tr>
      <w:tr w14:paraId="7F33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FAF0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FD29D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129E0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E0E2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342C7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3.1</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7478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A9889B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2AC5F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3.7</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74898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3.8</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A669D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A485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6D13B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19A1E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r>
    </w:tbl>
    <w:p w14:paraId="3074CEA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p>
    <w:p w14:paraId="78A939E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项目分工如下：</w:t>
      </w:r>
    </w:p>
    <w:tbl>
      <w:tblPr>
        <w:tblStyle w:val="4"/>
        <w:tblW w:w="9072" w:type="dxa"/>
        <w:tblInd w:w="2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078"/>
        <w:gridCol w:w="6334"/>
      </w:tblGrid>
      <w:tr w14:paraId="7D66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4FBD8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决策委员会</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247F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负责项目阶段的评审，对需要决议的事项作决策。</w:t>
            </w:r>
          </w:p>
        </w:tc>
      </w:tr>
      <w:tr w14:paraId="429C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0CEC5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项目组长</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15CF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负责项目阶段方案的制定，推动项目开展。</w:t>
            </w:r>
          </w:p>
        </w:tc>
      </w:tr>
      <w:tr w14:paraId="23AE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restart"/>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016020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项目成员</w:t>
            </w: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14960E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标品采销部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60C4D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负责质量异物专项任务、质量异物客诉整改纠偏、审核项目整改邮件的下发与回执的收集。</w:t>
            </w:r>
          </w:p>
        </w:tc>
      </w:tr>
      <w:tr w14:paraId="05773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continue"/>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31CB517A">
            <w:pPr>
              <w:jc w:val="center"/>
              <w:rPr>
                <w:rFonts w:hint="eastAsia" w:ascii="仿宋" w:hAnsi="仿宋" w:eastAsia="仿宋" w:cs="仿宋"/>
                <w:b w:val="0"/>
                <w:bCs/>
                <w:sz w:val="24"/>
                <w:szCs w:val="24"/>
              </w:rPr>
            </w:pP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7AABA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供应商管理部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A672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负责组织供应商质量约谈、供应商月度评价。</w:t>
            </w:r>
          </w:p>
        </w:tc>
      </w:tr>
    </w:tbl>
    <w:p w14:paraId="7E96F58B">
      <w:pPr>
        <w:rPr>
          <w:rFonts w:hint="eastAsia" w:ascii="仿宋" w:hAnsi="仿宋" w:eastAsia="仿宋" w:cs="仿宋"/>
          <w:sz w:val="32"/>
          <w:szCs w:val="32"/>
        </w:rPr>
      </w:pPr>
    </w:p>
    <w:p w14:paraId="03C63C5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实施过程与路径</w:t>
      </w:r>
    </w:p>
    <w:p w14:paraId="10B0EF98">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实施周期与流程</w:t>
      </w:r>
    </w:p>
    <w:p w14:paraId="3C2425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为提升标品质量安全水平，明康汇于2024年12月启动标品异物治理专项项目，遵循“打基础—建标准—严审核—强培训—专项治理—持续监控”六步推进法，构建覆盖供应商准入、过程管控、终端防控的全链条异物治理体系。</w:t>
      </w:r>
    </w:p>
    <w:p w14:paraId="37307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项目启动之初，明康汇于2024年12月组织大型线下异物专题研讨会，特邀专家面向所有标品供应商品控团队开展专项培训，深入剖析防控难点与应对方法，为后续工作奠定了思想与协作基础。</w:t>
      </w:r>
    </w:p>
    <w:p w14:paraId="149EB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2025年1月，明康汇升级标品供应商审核基准，新增异物管控专项75分合格要求，从源头强化刚性约束。2月，进一步明确二方审核员须具备BRC/FSSC专业认证或8年以上食品行业审核经验，以确保审核专业性。2025年3月至8月，结合季度异物发生趋势，明康汇有序开展系列专项治理活动，包括毛发异物管控专项、标品异物管控良好实践案例评比、供应商夏季食安动员大会、金检机有效性验证专项、虫害管控自查专项等。活动中系统输出异物来源分析与防控方法，并对供应商的学习成果及实践落实情况进行考核；对管控不足者下达限期整改通知，逾期未达标则暂停供货资格。除专项治理外，明康汇还持续推进监控、复盘及良好实践案例的推广工作。</w:t>
      </w:r>
    </w:p>
    <w:p w14:paraId="770A2D22">
      <w:pPr>
        <w:jc w:val="both"/>
        <w:rPr>
          <w:rFonts w:hint="eastAsia" w:ascii="仿宋" w:hAnsi="仿宋" w:eastAsia="仿宋" w:cs="仿宋"/>
          <w:sz w:val="28"/>
          <w:szCs w:val="28"/>
          <w:lang w:val="en-US" w:eastAsia="zh-CN"/>
        </w:rPr>
      </w:pPr>
      <w:r>
        <w:rPr>
          <w:rFonts w:hint="eastAsia" w:ascii="仿宋" w:hAnsi="仿宋" w:eastAsia="仿宋" w:cs="仿宋"/>
        </w:rPr>
        <w:drawing>
          <wp:anchor distT="0" distB="0" distL="114300" distR="114300" simplePos="0" relativeHeight="251659264" behindDoc="0" locked="0" layoutInCell="1" allowOverlap="1">
            <wp:simplePos x="0" y="0"/>
            <wp:positionH relativeFrom="column">
              <wp:posOffset>917575</wp:posOffset>
            </wp:positionH>
            <wp:positionV relativeFrom="paragraph">
              <wp:posOffset>222250</wp:posOffset>
            </wp:positionV>
            <wp:extent cx="3996055" cy="2997200"/>
            <wp:effectExtent l="0" t="0" r="12065" b="508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3996055" cy="2997200"/>
                    </a:xfrm>
                    <a:prstGeom prst="rect">
                      <a:avLst/>
                    </a:prstGeom>
                    <a:noFill/>
                    <a:ln>
                      <a:noFill/>
                    </a:ln>
                  </pic:spPr>
                </pic:pic>
              </a:graphicData>
            </a:graphic>
          </wp:anchor>
        </w:drawing>
      </w:r>
    </w:p>
    <w:p w14:paraId="44636125">
      <w:pPr>
        <w:rPr>
          <w:rFonts w:hint="eastAsia" w:ascii="仿宋" w:hAnsi="仿宋" w:eastAsia="仿宋" w:cs="仿宋"/>
          <w:sz w:val="28"/>
          <w:szCs w:val="28"/>
          <w:lang w:val="en-US" w:eastAsia="zh-CN"/>
        </w:rPr>
      </w:pPr>
    </w:p>
    <w:p w14:paraId="38CCC239">
      <w:pPr>
        <w:rPr>
          <w:rFonts w:hint="eastAsia" w:ascii="仿宋" w:hAnsi="仿宋" w:eastAsia="仿宋" w:cs="仿宋"/>
          <w:sz w:val="28"/>
          <w:szCs w:val="28"/>
          <w:lang w:val="en-US" w:eastAsia="zh-CN"/>
        </w:rPr>
      </w:pPr>
    </w:p>
    <w:p w14:paraId="2BE1DF18">
      <w:pPr>
        <w:rPr>
          <w:rFonts w:hint="eastAsia" w:ascii="仿宋" w:hAnsi="仿宋" w:eastAsia="仿宋" w:cs="仿宋"/>
          <w:sz w:val="28"/>
          <w:szCs w:val="28"/>
          <w:lang w:val="en-US" w:eastAsia="zh-CN"/>
        </w:rPr>
      </w:pPr>
    </w:p>
    <w:p w14:paraId="16CA4BD1">
      <w:pPr>
        <w:rPr>
          <w:rFonts w:hint="eastAsia" w:ascii="仿宋" w:hAnsi="仿宋" w:eastAsia="仿宋" w:cs="仿宋"/>
          <w:sz w:val="28"/>
          <w:szCs w:val="28"/>
          <w:lang w:val="en-US" w:eastAsia="zh-CN"/>
        </w:rPr>
      </w:pPr>
    </w:p>
    <w:p w14:paraId="5B49749C">
      <w:pPr>
        <w:rPr>
          <w:rFonts w:hint="eastAsia" w:ascii="仿宋" w:hAnsi="仿宋" w:eastAsia="仿宋" w:cs="仿宋"/>
          <w:sz w:val="28"/>
          <w:szCs w:val="28"/>
          <w:lang w:val="en-US" w:eastAsia="zh-CN"/>
        </w:rPr>
      </w:pPr>
    </w:p>
    <w:p w14:paraId="0EA19B61">
      <w:pPr>
        <w:rPr>
          <w:rFonts w:hint="eastAsia" w:ascii="仿宋" w:hAnsi="仿宋" w:eastAsia="仿宋" w:cs="仿宋"/>
          <w:sz w:val="28"/>
          <w:szCs w:val="28"/>
          <w:lang w:val="en-US" w:eastAsia="zh-CN"/>
        </w:rPr>
      </w:pPr>
    </w:p>
    <w:p w14:paraId="401DDDFA">
      <w:pPr>
        <w:rPr>
          <w:rFonts w:hint="eastAsia" w:ascii="仿宋" w:hAnsi="仿宋" w:eastAsia="仿宋" w:cs="仿宋"/>
          <w:sz w:val="28"/>
          <w:szCs w:val="28"/>
          <w:lang w:val="en-US" w:eastAsia="zh-CN"/>
        </w:rPr>
      </w:pPr>
    </w:p>
    <w:p w14:paraId="0317F5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仿宋" w:hAnsi="仿宋" w:eastAsia="仿宋" w:cs="仿宋"/>
          <w:sz w:val="21"/>
          <w:szCs w:val="21"/>
          <w:lang w:val="en-US" w:eastAsia="zh-CN"/>
        </w:rPr>
      </w:pPr>
    </w:p>
    <w:p w14:paraId="49DC03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（图1：线下异物专题研讨会）</w:t>
      </w:r>
    </w:p>
    <w:p w14:paraId="1A96DA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专项说明：2024年12月27日，明康汇与一起食安行联合举办食品安全异物专题研讨会，40余名供应商伙伴现场参加，共同探讨食品异物管控的最新进展与未来趋势，通过深入交流和知识分享，提升整个供应链的异物控制能力。</w:t>
      </w:r>
    </w:p>
    <w:p w14:paraId="5FEAD2F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0313D35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4DEA84A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仿宋" w:hAnsi="仿宋" w:eastAsia="仿宋" w:cs="仿宋"/>
          <w:sz w:val="21"/>
          <w:szCs w:val="21"/>
          <w:lang w:val="en-US" w:eastAsia="zh-CN"/>
        </w:rPr>
      </w:pPr>
    </w:p>
    <w:p w14:paraId="22F7473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rPr>
        <w:drawing>
          <wp:inline distT="0" distB="0" distL="114300" distR="114300">
            <wp:extent cx="5166995" cy="3141980"/>
            <wp:effectExtent l="0" t="0" r="3810"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166995" cy="3141980"/>
                    </a:xfrm>
                    <a:prstGeom prst="rect">
                      <a:avLst/>
                    </a:prstGeom>
                    <a:noFill/>
                    <a:ln>
                      <a:noFill/>
                    </a:ln>
                  </pic:spPr>
                </pic:pic>
              </a:graphicData>
            </a:graphic>
          </wp:inline>
        </w:drawing>
      </w:r>
    </w:p>
    <w:p w14:paraId="73D20C2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（图2：毛发管控专项活动）</w:t>
      </w:r>
    </w:p>
    <w:p w14:paraId="07DB47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lang w:eastAsia="zh-CN"/>
        </w:rPr>
      </w:pPr>
      <w:r>
        <w:rPr>
          <w:rFonts w:hint="eastAsia" w:ascii="仿宋" w:hAnsi="仿宋" w:eastAsia="仿宋" w:cs="仿宋"/>
          <w:sz w:val="21"/>
          <w:szCs w:val="21"/>
          <w:lang w:val="en-US" w:eastAsia="zh-CN"/>
        </w:rPr>
        <w:t>专项说明：2025年3月，明康汇向40余家供应商下发毛发管控专项活动PPT，要求各供应商指定一名品控负责人先行学习，随后组织生产班组开展现场培训，并提交培训照片、员工穿戴规范照片，同时完成毛发管理相关测试题，以此验证企业的学习成效。</w:t>
      </w:r>
    </w:p>
    <w:p w14:paraId="17F4F6AA">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360" w:lineRule="auto"/>
        <w:jc w:val="center"/>
        <w:textAlignment w:val="auto"/>
        <w:rPr>
          <w:rFonts w:hint="eastAsia" w:ascii="仿宋" w:hAnsi="仿宋" w:eastAsia="仿宋" w:cs="仿宋"/>
          <w:b/>
          <w:bCs/>
          <w:sz w:val="24"/>
          <w:szCs w:val="24"/>
          <w:lang w:val="en-US" w:eastAsia="zh-CN"/>
        </w:rPr>
      </w:pPr>
      <w:r>
        <w:rPr>
          <w:rFonts w:hint="eastAsia" w:ascii="仿宋" w:hAnsi="仿宋" w:eastAsia="仿宋" w:cs="仿宋"/>
        </w:rPr>
        <w:drawing>
          <wp:inline distT="0" distB="0" distL="114300" distR="114300">
            <wp:extent cx="4808220" cy="4399280"/>
            <wp:effectExtent l="0" t="0" r="6350"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808220" cy="4399280"/>
                    </a:xfrm>
                    <a:prstGeom prst="rect">
                      <a:avLst/>
                    </a:prstGeom>
                    <a:noFill/>
                    <a:ln>
                      <a:noFill/>
                    </a:ln>
                  </pic:spPr>
                </pic:pic>
              </a:graphicData>
            </a:graphic>
          </wp:inline>
        </w:drawing>
      </w:r>
    </w:p>
    <w:p w14:paraId="5F0907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（图3：金探有效性验证专项活动）</w:t>
      </w:r>
    </w:p>
    <w:p w14:paraId="005E0E04">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360" w:lineRule="auto"/>
        <w:ind w:firstLine="482" w:firstLineChars="200"/>
        <w:textAlignment w:val="auto"/>
        <w:rPr>
          <w:rFonts w:hint="eastAsia" w:ascii="仿宋" w:hAnsi="仿宋" w:eastAsia="仿宋" w:cs="仿宋"/>
          <w:b/>
          <w:bCs/>
          <w:sz w:val="24"/>
          <w:szCs w:val="24"/>
          <w:lang w:val="en-US" w:eastAsia="zh-CN"/>
        </w:rPr>
      </w:pPr>
    </w:p>
    <w:p w14:paraId="61D6CA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专项说明：2025年7月，明康汇向所有在供标品供应商下发金探有效性验证专项PPT，要求各供应商指定一名品控负责人先行学习，随后组织生产班组开展现场培训，并提交培训照片、员工操作视频，完成金探使用相关测试题。同时明康汇也结合企业历史客诉、审核情况及本次测试答题情况，随机抽查其金探实际使用视频，以此验证企业的学习成效。</w:t>
      </w:r>
    </w:p>
    <w:p w14:paraId="77301E93">
      <w:pPr>
        <w:jc w:val="center"/>
        <w:rPr>
          <w:rFonts w:hint="eastAsia" w:ascii="仿宋" w:hAnsi="仿宋" w:eastAsia="仿宋" w:cs="仿宋"/>
          <w:sz w:val="28"/>
          <w:szCs w:val="28"/>
        </w:rPr>
      </w:pPr>
      <w:r>
        <w:rPr>
          <w:rFonts w:hint="eastAsia" w:ascii="仿宋" w:hAnsi="仿宋" w:eastAsia="仿宋" w:cs="仿宋"/>
          <w:sz w:val="24"/>
          <w:szCs w:val="24"/>
        </w:rPr>
        <w:drawing>
          <wp:inline distT="0" distB="0" distL="114300" distR="114300">
            <wp:extent cx="304800" cy="304800"/>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eastAsia" w:ascii="仿宋" w:hAnsi="仿宋" w:eastAsia="仿宋" w:cs="仿宋"/>
          <w:sz w:val="28"/>
          <w:szCs w:val="28"/>
          <w:lang w:eastAsia="zh-CN"/>
        </w:rPr>
        <w:drawing>
          <wp:inline distT="0" distB="0" distL="114300" distR="114300">
            <wp:extent cx="1990090" cy="3540125"/>
            <wp:effectExtent l="0" t="0" r="6350" b="10795"/>
            <wp:docPr id="10" name="图片 10" descr="评比海报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评比海报 (1)"/>
                    <pic:cNvPicPr>
                      <a:picLocks noChangeAspect="1"/>
                    </pic:cNvPicPr>
                  </pic:nvPicPr>
                  <pic:blipFill>
                    <a:blip r:embed="rId10"/>
                    <a:stretch>
                      <a:fillRect/>
                    </a:stretch>
                  </pic:blipFill>
                  <pic:spPr>
                    <a:xfrm>
                      <a:off x="0" y="0"/>
                      <a:ext cx="1990090" cy="3540125"/>
                    </a:xfrm>
                    <a:prstGeom prst="rect">
                      <a:avLst/>
                    </a:prstGeom>
                  </pic:spPr>
                </pic:pic>
              </a:graphicData>
            </a:graphic>
          </wp:inline>
        </w:drawing>
      </w:r>
    </w:p>
    <w:p w14:paraId="218E2D3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（图4：标品异物管控良好实践评比）</w:t>
      </w:r>
    </w:p>
    <w:p w14:paraId="094EBA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专项说明：2025年5月，明康汇向所有在供标品供应商发起标品异物管控良好实践案例征集工作。各供应商可基于自身实践经验提炼形成具有推广价值的学习案例，经企业各部门及行业专家联合评审，评选出前六名优秀案例。优秀案例将在专项会议上进行分享，为其他供应商提供学习借鉴。</w:t>
      </w:r>
    </w:p>
    <w:p w14:paraId="4F2C650A">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textAlignment w:val="auto"/>
        <w:rPr>
          <w:rFonts w:hint="eastAsia" w:ascii="仿宋" w:hAnsi="仿宋" w:eastAsia="仿宋" w:cs="仿宋"/>
          <w:b/>
          <w:bCs/>
          <w:color w:val="333333"/>
          <w:spacing w:val="-6"/>
          <w:sz w:val="24"/>
          <w:szCs w:val="24"/>
          <w:shd w:val="clear" w:color="auto" w:fill="FFFFFF"/>
          <w:lang w:val="en-US" w:eastAsia="zh-CN"/>
        </w:rPr>
      </w:pPr>
    </w:p>
    <w:p w14:paraId="3D54827A">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困难与应对</w:t>
      </w:r>
    </w:p>
    <w:p w14:paraId="1CDB41D5">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针对异物管控工作中面临的困难，我们制定了系统性的应对措施：一是针对部分供应商异物管控意识薄弱、整改配合度低的问题，我们通过建立分级处罚机制（恶性异物处罚 0.3-2 万元，一般异物处罚 0.05-1 万元）及关单机制，强化约束效力，倒逼供应商主动落实整改；二是针对供应商异物风险识别与管控能力不足的问题，我们采用 “诊断 + 培训” 一对一辅导模式，帮助供应商系统提升风险识别与过程管控能力；三是针对异物客诉数据分散、缺乏统一监控的问题，我们搭建了线上数据看板，实现异物数据实时可视化，并由标品质量负责人在项目群定时推送预警与月度复盘信息，实现问题的及时跟进与闭环管理；四是针对采购引入新供应商时异物意识薄弱的问题，我们通过专项要求，明确各品类采购需承担对应的异物客诉考核目标，从源头强化供应商准入环节的异物管控意识。</w:t>
      </w:r>
    </w:p>
    <w:p w14:paraId="4E07C35B">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方法论与创新点</w:t>
      </w:r>
    </w:p>
    <w:p w14:paraId="10767C32">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在异物管控工作中，我们构建了一套系统化的实施路径与创新机制。方法论层面，以 “标准先行、审核驱动、专项突破、培训赋能、数据闭环” 为核心逻辑，构建全流程管控体系；在此基础上，同步推进多维度创新：管理创新上，建立异物客诉与供应商评级联动机制，实现供应商动态准入与退出；机制创新上，引入 “预警 — 关单 — 复盘” 的业务风险管控流程，确保问题快速响应与闭环处理；模式创新上，通过 “标品异物管控良好实践案例评比”，推动供应商间的经验共享与对标提升，形成持续改进的良性循环。</w:t>
      </w:r>
    </w:p>
    <w:p w14:paraId="4B61AC94">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成果和价值</w:t>
      </w:r>
    </w:p>
    <w:p w14:paraId="08D1A424">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创新点提炼</w:t>
      </w:r>
    </w:p>
    <w:p w14:paraId="53E30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rPr>
      </w:pPr>
      <w:r>
        <w:rPr>
          <w:rFonts w:hint="eastAsia" w:ascii="仿宋" w:hAnsi="仿宋" w:eastAsia="仿宋" w:cs="仿宋"/>
          <w:sz w:val="24"/>
          <w:szCs w:val="24"/>
          <w:lang w:val="en-US" w:eastAsia="zh-CN"/>
        </w:rPr>
        <w:t>建立了涵盖准入、审核、评级、处罚、培训、退出的全流程异物管控体系。实现了从“事后处理”到“事前预防、事中控制、事后复盘”的闭环管理。通过数据看板与月度目标分解，实现精细化、可视化管理。</w:t>
      </w:r>
    </w:p>
    <w:p w14:paraId="0DA6635E">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成效数据</w:t>
      </w:r>
    </w:p>
    <w:p w14:paraId="00618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highlight w:val="none"/>
        </w:rPr>
      </w:pPr>
      <w:r>
        <w:rPr>
          <w:rFonts w:hint="eastAsia" w:ascii="仿宋" w:hAnsi="仿宋" w:eastAsia="仿宋" w:cs="仿宋"/>
          <w:sz w:val="24"/>
          <w:szCs w:val="24"/>
          <w:highlight w:val="none"/>
          <w:lang w:val="en-US" w:eastAsia="zh-CN"/>
        </w:rPr>
        <w:t>2025全年异物客诉比例2.8ppm，较2024年下降35%。</w:t>
      </w:r>
    </w:p>
    <w:p w14:paraId="13F6D17D">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推广与复制价值</w:t>
      </w:r>
    </w:p>
    <w:p w14:paraId="030E83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本项目构建的异物治理体系具有较强的行业通用性与可复制性，尤其适用于连锁零售、食品加工、餐饮供应链等企业对异物管控要求高的场景。其核心价值包括：</w:t>
      </w:r>
    </w:p>
    <w:p w14:paraId="0466E5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标准化操作模板：</w:t>
      </w:r>
      <w:r>
        <w:rPr>
          <w:rFonts w:hint="eastAsia" w:ascii="仿宋" w:hAnsi="仿宋" w:eastAsia="仿宋" w:cs="仿宋"/>
          <w:sz w:val="24"/>
          <w:szCs w:val="24"/>
          <w:lang w:val="en-US" w:eastAsia="zh-CN"/>
        </w:rPr>
        <w:t>可供同类企业直接参考或适配使用。</w:t>
      </w:r>
    </w:p>
    <w:p w14:paraId="239B5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eastAsia" w:ascii="仿宋" w:hAnsi="仿宋" w:eastAsia="仿宋" w:cs="仿宋"/>
          <w:b/>
          <w:bCs/>
          <w:sz w:val="24"/>
          <w:szCs w:val="24"/>
          <w:lang w:val="en-US" w:eastAsia="zh-CN"/>
        </w:rPr>
        <w:t>数据驱动管理机制：</w:t>
      </w:r>
      <w:r>
        <w:rPr>
          <w:rFonts w:hint="eastAsia" w:ascii="仿宋" w:hAnsi="仿宋" w:eastAsia="仿宋" w:cs="仿宋"/>
          <w:sz w:val="24"/>
          <w:szCs w:val="24"/>
          <w:lang w:val="en-US" w:eastAsia="zh-CN"/>
        </w:rPr>
        <w:t>通过目标分解与实时看板，实现透明化、可量化的管理。</w:t>
      </w:r>
    </w:p>
    <w:p w14:paraId="26C3B5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eastAsia" w:ascii="仿宋" w:hAnsi="仿宋" w:eastAsia="仿宋" w:cs="仿宋"/>
          <w:b/>
          <w:bCs/>
          <w:sz w:val="24"/>
          <w:szCs w:val="24"/>
          <w:lang w:val="en-US" w:eastAsia="zh-CN"/>
        </w:rPr>
        <w:t>供应商协同模式：</w:t>
      </w:r>
      <w:r>
        <w:rPr>
          <w:rFonts w:hint="eastAsia" w:ascii="仿宋" w:hAnsi="仿宋" w:eastAsia="仿宋" w:cs="仿宋"/>
          <w:sz w:val="24"/>
          <w:szCs w:val="24"/>
          <w:lang w:val="en-US" w:eastAsia="zh-CN"/>
        </w:rPr>
        <w:t>通过培训、评比、约谈等方式，推动供应链整体能力提升。</w:t>
      </w:r>
    </w:p>
    <w:p w14:paraId="1FCC74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该项目不仅提升了明康汇的食品安全管理水平，也为行业提供了可借鉴的异物治理实践案例，具备广泛的推广价值。</w:t>
      </w:r>
    </w:p>
    <w:sectPr>
      <w:footerReference r:id="rId4" w:type="first"/>
      <w:footerReference r:id="rId3" w:type="default"/>
      <w:pgSz w:w="11906" w:h="16838"/>
      <w:pgMar w:top="851" w:right="1304" w:bottom="851" w:left="1304" w:header="851"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130126"/>
    </w:sdtPr>
    <w:sdtContent>
      <w:p w14:paraId="56F76F7E">
        <w:pPr>
          <w:pStyle w:val="2"/>
          <w:jc w:val="center"/>
        </w:pPr>
        <w:r>
          <w:fldChar w:fldCharType="begin"/>
        </w:r>
        <w:r>
          <w:instrText xml:space="preserve">PAGE   \* MERGEFORMAT</w:instrText>
        </w:r>
        <w:r>
          <w:fldChar w:fldCharType="separate"/>
        </w:r>
        <w:r>
          <w:rPr>
            <w:lang w:val="zh-CN"/>
          </w:rPr>
          <w:t>2</w:t>
        </w:r>
        <w:r>
          <w:fldChar w:fldCharType="end"/>
        </w:r>
      </w:p>
    </w:sdtContent>
  </w:sdt>
  <w:p w14:paraId="6D7D2B28">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8790">
    <w:pPr>
      <w:pStyle w:val="2"/>
      <w:jc w:val="center"/>
    </w:pPr>
  </w:p>
  <w:p w14:paraId="7D0669DD">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D7076"/>
    <w:multiLevelType w:val="singleLevel"/>
    <w:tmpl w:val="D6BD7076"/>
    <w:lvl w:ilvl="0" w:tentative="0">
      <w:start w:val="1"/>
      <w:numFmt w:val="decimal"/>
      <w:suff w:val="nothing"/>
      <w:lvlText w:val="（%1）"/>
      <w:lvlJc w:val="left"/>
    </w:lvl>
  </w:abstractNum>
  <w:abstractNum w:abstractNumId="1">
    <w:nsid w:val="E4EB3C48"/>
    <w:multiLevelType w:val="singleLevel"/>
    <w:tmpl w:val="E4EB3C48"/>
    <w:lvl w:ilvl="0" w:tentative="0">
      <w:start w:val="1"/>
      <w:numFmt w:val="chineseCounting"/>
      <w:suff w:val="nothing"/>
      <w:lvlText w:val="%1、"/>
      <w:lvlJc w:val="left"/>
      <w:rPr>
        <w:rFonts w:hint="eastAsia"/>
      </w:rPr>
    </w:lvl>
  </w:abstractNum>
  <w:abstractNum w:abstractNumId="2">
    <w:nsid w:val="F7FE029A"/>
    <w:multiLevelType w:val="singleLevel"/>
    <w:tmpl w:val="F7FE029A"/>
    <w:lvl w:ilvl="0" w:tentative="0">
      <w:start w:val="1"/>
      <w:numFmt w:val="chineseCounting"/>
      <w:suff w:val="nothing"/>
      <w:lvlText w:val="（%1）"/>
      <w:lvlJc w:val="left"/>
      <w:rPr>
        <w:rFonts w:hint="eastAsia"/>
      </w:rPr>
    </w:lvl>
  </w:abstractNum>
  <w:abstractNum w:abstractNumId="3">
    <w:nsid w:val="5E7D0BB8"/>
    <w:multiLevelType w:val="singleLevel"/>
    <w:tmpl w:val="5E7D0BB8"/>
    <w:lvl w:ilvl="0" w:tentative="0">
      <w:start w:val="1"/>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37796"/>
    <w:rsid w:val="07F42620"/>
    <w:rsid w:val="089F29B3"/>
    <w:rsid w:val="0DCF1D61"/>
    <w:rsid w:val="0E6A098F"/>
    <w:rsid w:val="13A40A0B"/>
    <w:rsid w:val="14410CB9"/>
    <w:rsid w:val="14D707F5"/>
    <w:rsid w:val="180B2992"/>
    <w:rsid w:val="1BC05D1A"/>
    <w:rsid w:val="1E156D14"/>
    <w:rsid w:val="1E3429EF"/>
    <w:rsid w:val="1E5B7F7C"/>
    <w:rsid w:val="2136496E"/>
    <w:rsid w:val="21FF1EEB"/>
    <w:rsid w:val="2225728C"/>
    <w:rsid w:val="26911E79"/>
    <w:rsid w:val="2F436F36"/>
    <w:rsid w:val="32452FC5"/>
    <w:rsid w:val="33AB6E58"/>
    <w:rsid w:val="343F74DB"/>
    <w:rsid w:val="368D58BE"/>
    <w:rsid w:val="37B37796"/>
    <w:rsid w:val="37CD0448"/>
    <w:rsid w:val="3A854A54"/>
    <w:rsid w:val="3C552056"/>
    <w:rsid w:val="4B676B09"/>
    <w:rsid w:val="4FE8630A"/>
    <w:rsid w:val="50C32408"/>
    <w:rsid w:val="50E61077"/>
    <w:rsid w:val="553736C2"/>
    <w:rsid w:val="561346BC"/>
    <w:rsid w:val="572E7B25"/>
    <w:rsid w:val="6C094140"/>
    <w:rsid w:val="6CF52598"/>
    <w:rsid w:val="71770BD0"/>
    <w:rsid w:val="7F233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2784</Words>
  <Characters>2921</Characters>
  <Lines>0</Lines>
  <Paragraphs>0</Paragraphs>
  <TotalTime>104</TotalTime>
  <ScaleCrop>false</ScaleCrop>
  <LinksUpToDate>false</LinksUpToDate>
  <CharactersWithSpaces>2971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2025-08-23T13:19:00Z</dcterms:created>
  <dc:creator>泉琳</dc:creator>
  <cp:lastModifiedBy>泉琳</cp:lastModifiedBy>
  <dcterms:modified xsi:type="dcterms:W3CDTF">2026-05-06T03:30:02Z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8F5BAD3078D246AE9119C27E892F3C17_11</vt:lpwstr>
  </property>
  <property fmtid="{D5CDD505-2E9C-101B-9397-08002B2CF9AE}" pid="4" name="KSOTemplateDocerSaveRecord">
    <vt:lpwstr>eyJoZGlkIjoiZTI4MGE0MjMyYTBjMmIyMWM1NWZhYmQ0NmQ1MzA4ZWIiLCJ1c2VySWQiOiIxMDg3MjMzMDIyIn0=</vt:lpwstr>
  </property>
</Properties>
</file>