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69536">
      <w:pPr>
        <w:widowControl/>
        <w:autoSpaceDE w:val="0"/>
        <w:autoSpaceDN w:val="0"/>
        <w:spacing w:before="276" w:after="0" w:line="220" w:lineRule="exact"/>
        <w:ind w:left="0" w:right="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828040</wp:posOffset>
            </wp:positionH>
            <wp:positionV relativeFrom="page">
              <wp:posOffset>4705350</wp:posOffset>
            </wp:positionV>
            <wp:extent cx="5904230" cy="1031875"/>
            <wp:effectExtent l="0" t="0" r="1397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1031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华文仿宋" w:hAnsi="华文仿宋" w:eastAsia="华文仿宋" w:cs="华文仿宋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4705350</wp:posOffset>
            </wp:positionH>
            <wp:positionV relativeFrom="page">
              <wp:posOffset>3855720</wp:posOffset>
            </wp:positionV>
            <wp:extent cx="1600200" cy="261620"/>
            <wp:effectExtent l="0" t="0" r="0" b="177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61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51377">
      <w:pPr>
        <w:widowControl/>
        <w:autoSpaceDE w:val="0"/>
        <w:autoSpaceDN w:val="0"/>
        <w:spacing w:before="0" w:after="0" w:line="334" w:lineRule="exact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00"/>
          <w:sz w:val="30"/>
        </w:rPr>
        <w:t>附件1：</w:t>
      </w:r>
    </w:p>
    <w:p w14:paraId="613A406D">
      <w:pPr>
        <w:widowControl/>
        <w:autoSpaceDE w:val="0"/>
        <w:autoSpaceDN w:val="0"/>
        <w:spacing w:before="278" w:after="134" w:line="360" w:lineRule="exact"/>
        <w:ind w:left="226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00"/>
          <w:sz w:val="36"/>
        </w:rPr>
        <w:t>2025食品安全创新案例申报表</w:t>
      </w:r>
    </w:p>
    <w:tbl>
      <w:tblPr>
        <w:tblStyle w:val="4"/>
        <w:tblW w:w="0" w:type="auto"/>
        <w:tblInd w:w="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218"/>
        <w:gridCol w:w="1560"/>
        <w:gridCol w:w="2696"/>
      </w:tblGrid>
      <w:tr w14:paraId="5F88BFDC">
        <w:trPr>
          <w:trHeight w:val="628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AAC84A1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企业全称</w:t>
            </w:r>
          </w:p>
        </w:tc>
        <w:tc>
          <w:tcPr>
            <w:tcW w:w="647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9B5DBEF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  <w:lang w:val="en-US" w:eastAsia="zh-CN"/>
              </w:rPr>
              <w:t>四川鸣鲜供应链科技有限公司</w:t>
            </w:r>
          </w:p>
        </w:tc>
      </w:tr>
      <w:tr w14:paraId="476889AC">
        <w:trPr>
          <w:trHeight w:val="630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C175B1E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联系人</w:t>
            </w:r>
          </w:p>
        </w:tc>
        <w:tc>
          <w:tcPr>
            <w:tcW w:w="22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4F9E559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张雨昕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29B558F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联系电话</w:t>
            </w:r>
          </w:p>
        </w:tc>
        <w:tc>
          <w:tcPr>
            <w:tcW w:w="26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398A31A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13541233589</w:t>
            </w:r>
          </w:p>
        </w:tc>
      </w:tr>
      <w:tr w14:paraId="12597082">
        <w:trPr>
          <w:trHeight w:val="628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2D5A1DA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部门</w:t>
            </w:r>
          </w:p>
        </w:tc>
        <w:tc>
          <w:tcPr>
            <w:tcW w:w="22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B1B6DAC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市场推广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55C2431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职务</w:t>
            </w:r>
          </w:p>
        </w:tc>
        <w:tc>
          <w:tcPr>
            <w:tcW w:w="26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3B758D6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市场总监</w:t>
            </w:r>
          </w:p>
        </w:tc>
      </w:tr>
      <w:tr w14:paraId="4B625FC7">
        <w:trPr>
          <w:trHeight w:val="630" w:hRule="exact"/>
        </w:trPr>
        <w:tc>
          <w:tcPr>
            <w:tcW w:w="8646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5F8C905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案例1</w:t>
            </w:r>
          </w:p>
        </w:tc>
      </w:tr>
      <w:tr w14:paraId="365B6F27">
        <w:trPr>
          <w:trHeight w:val="628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29DFA49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案例名称</w:t>
            </w:r>
          </w:p>
        </w:tc>
        <w:tc>
          <w:tcPr>
            <w:tcW w:w="647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4F8CE47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打造低温优质乳冷链物流技术规范</w:t>
            </w:r>
          </w:p>
        </w:tc>
      </w:tr>
      <w:tr w14:paraId="2D1D9493">
        <w:trPr>
          <w:trHeight w:val="716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CF7E7E7">
            <w:pPr>
              <w:widowControl/>
              <w:autoSpaceDE w:val="0"/>
              <w:autoSpaceDN w:val="0"/>
              <w:spacing w:before="48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申报方向</w:t>
            </w:r>
          </w:p>
          <w:p w14:paraId="52705F14">
            <w:pPr>
              <w:widowControl/>
              <w:autoSpaceDE w:val="0"/>
              <w:autoSpaceDN w:val="0"/>
              <w:spacing w:before="80" w:after="0" w:line="234" w:lineRule="exact"/>
              <w:ind w:left="106" w:right="0" w:firstLine="0"/>
              <w:jc w:val="left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1"/>
              </w:rPr>
              <w:t>（每个案例对应1个）</w:t>
            </w:r>
          </w:p>
        </w:tc>
        <w:tc>
          <w:tcPr>
            <w:tcW w:w="647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F53B6AE">
            <w:pPr>
              <w:widowControl/>
              <w:autoSpaceDE w:val="0"/>
              <w:autoSpaceDN w:val="0"/>
              <w:spacing w:before="198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z w:val="28"/>
              </w:rPr>
              <w:t>管理体系与制度创新</w:t>
            </w:r>
            <w:r>
              <w:rPr>
                <w:rFonts w:hint="eastAsia" w:ascii="华文仿宋" w:hAnsi="华文仿宋" w:eastAsia="华文仿宋" w:cs="华文仿宋"/>
                <w:color w:val="333333"/>
                <w:sz w:val="22"/>
              </w:rPr>
              <w:t>（标准化与管理创新）</w:t>
            </w:r>
          </w:p>
        </w:tc>
      </w:tr>
      <w:tr w14:paraId="158CA2AC">
        <w:trPr>
          <w:trHeight w:val="628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3011A5B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申报形式</w:t>
            </w:r>
          </w:p>
        </w:tc>
        <w:tc>
          <w:tcPr>
            <w:tcW w:w="647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3CE8E9E">
            <w:pPr>
              <w:widowControl/>
              <w:autoSpaceDE w:val="0"/>
              <w:autoSpaceDN w:val="0"/>
              <w:spacing w:before="0" w:after="0" w:line="92" w:lineRule="exact"/>
              <w:ind w:left="0" w:right="0"/>
              <w:rPr>
                <w:rFonts w:hint="eastAsia" w:ascii="华文仿宋" w:hAnsi="华文仿宋" w:eastAsia="华文仿宋" w:cs="华文仿宋"/>
              </w:rPr>
            </w:pPr>
          </w:p>
          <w:tbl>
            <w:tblPr>
              <w:tblStyle w:val="4"/>
              <w:tblW w:w="0" w:type="auto"/>
              <w:tblInd w:w="3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0"/>
              <w:gridCol w:w="1820"/>
              <w:gridCol w:w="2840"/>
            </w:tblGrid>
            <w:tr w14:paraId="4FB31FDF">
              <w:trPr>
                <w:trHeight w:val="414" w:hRule="exact"/>
              </w:trPr>
              <w:tc>
                <w:tcPr>
                  <w:tcW w:w="1600" w:type="dxa"/>
                  <w:tcMar>
                    <w:left w:w="0" w:type="dxa"/>
                    <w:right w:w="0" w:type="dxa"/>
                  </w:tcMar>
                </w:tcPr>
                <w:p w14:paraId="71A2F46E">
                  <w:pPr>
                    <w:widowControl/>
                    <w:autoSpaceDE w:val="0"/>
                    <w:autoSpaceDN w:val="0"/>
                    <w:spacing w:before="60" w:after="0" w:line="314" w:lineRule="exact"/>
                    <w:ind w:left="70" w:right="0" w:firstLine="0"/>
                    <w:jc w:val="left"/>
                    <w:rPr>
                      <w:rFonts w:hint="eastAsia" w:ascii="华文仿宋" w:hAnsi="华文仿宋" w:eastAsia="华文仿宋" w:cs="华文仿宋"/>
                    </w:rPr>
                  </w:pPr>
                  <w:r>
                    <w:rPr>
                      <w:rFonts w:hint="eastAsia" w:ascii="华文仿宋" w:hAnsi="华文仿宋" w:eastAsia="华文仿宋" w:cs="华文仿宋"/>
                      <w:color w:val="000000"/>
                      <w:sz w:val="28"/>
                    </w:rPr>
                    <w:t>□仅文字</w:t>
                  </w:r>
                </w:p>
              </w:tc>
              <w:tc>
                <w:tcPr>
                  <w:tcW w:w="1820" w:type="dxa"/>
                  <w:tcMar>
                    <w:left w:w="0" w:type="dxa"/>
                    <w:right w:w="0" w:type="dxa"/>
                  </w:tcMar>
                </w:tcPr>
                <w:p w14:paraId="4EF2657D">
                  <w:pPr>
                    <w:widowControl/>
                    <w:autoSpaceDE w:val="0"/>
                    <w:autoSpaceDN w:val="0"/>
                    <w:spacing w:before="60" w:after="0" w:line="314" w:lineRule="exact"/>
                    <w:ind w:left="0" w:right="0" w:firstLine="0"/>
                    <w:jc w:val="center"/>
                    <w:rPr>
                      <w:rFonts w:hint="eastAsia" w:ascii="华文仿宋" w:hAnsi="华文仿宋" w:eastAsia="华文仿宋" w:cs="华文仿宋"/>
                    </w:rPr>
                  </w:pPr>
                  <w:r>
                    <w:rPr>
                      <w:rFonts w:hint="eastAsia" w:ascii="华文仿宋" w:hAnsi="华文仿宋" w:eastAsia="华文仿宋" w:cs="华文仿宋"/>
                      <w:color w:val="000000"/>
                      <w:sz w:val="28"/>
                    </w:rPr>
                    <w:t>□仅视频</w:t>
                  </w:r>
                </w:p>
              </w:tc>
              <w:tc>
                <w:tcPr>
                  <w:tcW w:w="2840" w:type="dxa"/>
                  <w:tcMar>
                    <w:left w:w="0" w:type="dxa"/>
                    <w:right w:w="0" w:type="dxa"/>
                  </w:tcMar>
                </w:tcPr>
                <w:p w14:paraId="56575E57">
                  <w:pPr>
                    <w:widowControl/>
                    <w:autoSpaceDE w:val="0"/>
                    <w:autoSpaceDN w:val="0"/>
                    <w:spacing w:before="60" w:after="0" w:line="314" w:lineRule="exact"/>
                    <w:ind w:left="290" w:right="0" w:firstLine="0"/>
                    <w:jc w:val="left"/>
                    <w:rPr>
                      <w:rFonts w:hint="eastAsia" w:ascii="华文仿宋" w:hAnsi="华文仿宋" w:eastAsia="华文仿宋" w:cs="华文仿宋"/>
                    </w:rPr>
                  </w:pPr>
                  <w:r>
                    <w:rPr>
                      <w:rFonts w:hint="eastAsia" w:ascii="华文仿宋" w:hAnsi="华文仿宋" w:eastAsia="华文仿宋" w:cs="华文仿宋"/>
                      <w:color w:val="000000"/>
                      <w:sz w:val="28"/>
                    </w:rPr>
                    <w:t>□文字与视频结合</w:t>
                  </w:r>
                </w:p>
              </w:tc>
            </w:tr>
          </w:tbl>
          <w:p w14:paraId="7326A07B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7539B14">
        <w:trPr>
          <w:trHeight w:val="818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AD5474D">
            <w:pPr>
              <w:widowControl/>
              <w:autoSpaceDE w:val="0"/>
              <w:autoSpaceDN w:val="0"/>
              <w:spacing w:before="48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视频下载链接</w:t>
            </w:r>
          </w:p>
          <w:p w14:paraId="7193A23C">
            <w:pPr>
              <w:widowControl/>
              <w:autoSpaceDE w:val="0"/>
              <w:autoSpaceDN w:val="0"/>
              <w:spacing w:before="90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（如有）</w:t>
            </w:r>
          </w:p>
        </w:tc>
        <w:tc>
          <w:tcPr>
            <w:tcW w:w="647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F97CB3C">
            <w:pPr>
              <w:widowControl/>
              <w:autoSpaceDE w:val="0"/>
              <w:autoSpaceDN w:val="0"/>
              <w:spacing w:before="248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https://mp.weixin.qq.com/s/PxIDPZSsH5iUJA-rIG99vw</w:t>
            </w:r>
          </w:p>
        </w:tc>
      </w:tr>
    </w:tbl>
    <w:p w14:paraId="56264CFF">
      <w:pPr>
        <w:widowControl/>
        <w:autoSpaceDE w:val="0"/>
        <w:autoSpaceDN w:val="0"/>
        <w:spacing w:before="358" w:after="0" w:line="404" w:lineRule="exact"/>
        <w:ind w:left="0" w:right="160" w:firstLine="578"/>
        <w:jc w:val="both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333333"/>
          <w:sz w:val="28"/>
        </w:rPr>
        <w:t>*申报方向：（一）管理体系与制度创新；（二）供应链与源头管控创新；（三）生产与加工环节创新；（四）流通与销售环节创新；（五）社会价值与公益项目。</w:t>
      </w:r>
    </w:p>
    <w:p w14:paraId="2D671D75">
      <w:pPr>
        <w:widowControl/>
        <w:autoSpaceDE w:val="0"/>
        <w:autoSpaceDN w:val="0"/>
        <w:spacing w:before="190" w:after="0" w:line="334" w:lineRule="exact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00"/>
          <w:sz w:val="30"/>
        </w:rPr>
        <w:t>附件2：</w:t>
      </w:r>
    </w:p>
    <w:p w14:paraId="28680DB8">
      <w:pPr>
        <w:widowControl/>
        <w:autoSpaceDE w:val="0"/>
        <w:autoSpaceDN w:val="0"/>
        <w:spacing w:before="280" w:after="0" w:line="360" w:lineRule="exact"/>
        <w:ind w:left="0" w:right="3198" w:firstLine="0"/>
        <w:jc w:val="righ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00"/>
          <w:sz w:val="36"/>
        </w:rPr>
        <w:t>文字案例要求及模板</w:t>
      </w:r>
    </w:p>
    <w:p w14:paraId="67A18293">
      <w:pPr>
        <w:widowControl/>
        <w:autoSpaceDE w:val="0"/>
        <w:autoSpaceDN w:val="0"/>
        <w:spacing w:before="108" w:after="0" w:line="498" w:lineRule="exact"/>
        <w:ind w:left="60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00"/>
          <w:sz w:val="30"/>
        </w:rPr>
        <w:t>编写要求：</w:t>
      </w:r>
      <w:r>
        <w:rPr>
          <w:rFonts w:hint="eastAsia" w:ascii="华文仿宋" w:hAnsi="华文仿宋" w:eastAsia="华文仿宋" w:cs="华文仿宋"/>
        </w:rPr>
        <w:br w:type="textWrapping"/>
      </w:r>
      <w:r>
        <w:rPr>
          <w:rFonts w:hint="eastAsia" w:ascii="华文仿宋" w:hAnsi="华文仿宋" w:eastAsia="华文仿宋" w:cs="华文仿宋"/>
          <w:color w:val="000000"/>
          <w:sz w:val="30"/>
        </w:rPr>
        <w:t>1.框架清晰，结构完整：按模板进行编写，字数控制在3000字内。</w:t>
      </w:r>
    </w:p>
    <w:p w14:paraId="0BB573A1">
      <w:pPr>
        <w:widowControl/>
        <w:tabs>
          <w:tab w:val="left" w:pos="600"/>
        </w:tabs>
        <w:autoSpaceDE w:val="0"/>
        <w:autoSpaceDN w:val="0"/>
        <w:spacing w:before="2" w:after="0" w:line="500" w:lineRule="exact"/>
        <w:ind w:left="0" w:right="144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ab/>
      </w:r>
      <w:r>
        <w:rPr>
          <w:rFonts w:hint="eastAsia" w:ascii="华文仿宋" w:hAnsi="华文仿宋" w:eastAsia="华文仿宋" w:cs="华文仿宋"/>
          <w:color w:val="000000"/>
          <w:sz w:val="30"/>
        </w:rPr>
        <w:t>2.内容详实，重点突出：聚焦核心创新点，避免泛泛而谈，需阐明解决了什么问题、创新方法是什么、实际效果如何。</w:t>
      </w:r>
    </w:p>
    <w:p w14:paraId="22E199F5">
      <w:pPr>
        <w:widowControl/>
        <w:autoSpaceDE w:val="0"/>
        <w:autoSpaceDN w:val="0"/>
        <w:spacing w:before="0" w:after="0" w:line="500" w:lineRule="exact"/>
        <w:ind w:left="0" w:right="20" w:firstLine="600"/>
        <w:jc w:val="both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sz w:val="30"/>
        </w:rPr>
        <w:t>3.数据支撑，真实可信：成果部分需提供可量化的数据，并注明统计周期与口径；涉及技术应用的案例需说明落地场景与阶段性成果。禁止虚构或模糊表述（如“效果显著”“大幅提升”需替换为具体数值）。</w:t>
      </w:r>
    </w:p>
    <w:p w14:paraId="3AB114A0">
      <w:pPr>
        <w:widowControl/>
        <w:autoSpaceDE w:val="0"/>
        <w:autoSpaceDN w:val="0"/>
        <w:spacing w:before="0" w:after="0" w:line="500" w:lineRule="exact"/>
        <w:ind w:left="600" w:right="144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sz w:val="30"/>
        </w:rPr>
        <w:t>4.逻辑清晰，语句通顺：语言简明、准确，无错别字，可读性强。5.图文并茂，图表规范：图表有序号和标题等。</w:t>
      </w:r>
    </w:p>
    <w:p w14:paraId="19DB38F0">
      <w:pPr>
        <w:widowControl/>
        <w:autoSpaceDE w:val="0"/>
        <w:autoSpaceDN w:val="0"/>
        <w:spacing w:before="166" w:after="0" w:line="334" w:lineRule="exact"/>
        <w:ind w:left="60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sz w:val="30"/>
        </w:rPr>
        <w:t>6.内部信息、数据、图像等应作脱敏处理。</w:t>
      </w:r>
    </w:p>
    <w:p w14:paraId="6D3538C8">
      <w:pPr>
        <w:widowControl/>
        <w:autoSpaceDE w:val="0"/>
        <w:autoSpaceDN w:val="0"/>
        <w:spacing w:before="636" w:after="0" w:line="198" w:lineRule="exact"/>
        <w:ind w:left="0" w:right="4672" w:firstLine="0"/>
        <w:jc w:val="righ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sz w:val="18"/>
        </w:rPr>
        <w:t>-1-</w:t>
      </w:r>
    </w:p>
    <w:p w14:paraId="204EC694">
      <w:pPr>
        <w:rPr>
          <w:rFonts w:hint="eastAsia" w:ascii="华文仿宋" w:hAnsi="华文仿宋" w:eastAsia="华文仿宋" w:cs="华文仿宋"/>
        </w:rPr>
        <w:sectPr>
          <w:pgSz w:w="11906" w:h="17238"/>
          <w:pgMar w:top="498" w:right="1134" w:bottom="376" w:left="1304" w:header="720" w:footer="720" w:gutter="0"/>
          <w:cols w:equalWidth="0" w:num="1">
            <w:col w:w="9468"/>
          </w:cols>
          <w:docGrid w:linePitch="360" w:charSpace="0"/>
        </w:sectPr>
      </w:pPr>
    </w:p>
    <w:p w14:paraId="4188D989">
      <w:pPr>
        <w:widowControl/>
        <w:autoSpaceDE w:val="0"/>
        <w:autoSpaceDN w:val="0"/>
        <w:spacing w:before="262" w:after="0" w:line="220" w:lineRule="exact"/>
        <w:ind w:left="0" w:right="0"/>
        <w:rPr>
          <w:rFonts w:hint="eastAsia" w:ascii="华文仿宋" w:hAnsi="华文仿宋" w:eastAsia="华文仿宋" w:cs="华文仿宋"/>
        </w:rPr>
      </w:pPr>
    </w:p>
    <w:p w14:paraId="7FD67C90">
      <w:pPr>
        <w:widowControl/>
        <w:autoSpaceDE w:val="0"/>
        <w:autoSpaceDN w:val="0"/>
        <w:spacing w:before="0" w:after="0" w:line="402" w:lineRule="exact"/>
        <w:ind w:left="1036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00"/>
          <w:sz w:val="36"/>
        </w:rPr>
        <w:t>企业全称：打造低温优质乳冷链物流技术规范</w:t>
      </w:r>
    </w:p>
    <w:p w14:paraId="79F184F0">
      <w:pPr>
        <w:widowControl/>
        <w:autoSpaceDE w:val="0"/>
        <w:autoSpaceDN w:val="0"/>
        <w:spacing w:before="254" w:after="0" w:line="334" w:lineRule="exact"/>
        <w:ind w:right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333333"/>
          <w:sz w:val="30"/>
        </w:rPr>
        <w:t>一、案例背景</w:t>
      </w:r>
    </w:p>
    <w:p w14:paraId="5AF425F9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  <w:r>
        <w:rPr>
          <w:rFonts w:hint="eastAsia" w:ascii="华文仿宋" w:hAnsi="华文仿宋" w:eastAsia="华文仿宋" w:cs="华文仿宋"/>
          <w:color w:val="333333"/>
          <w:sz w:val="28"/>
          <w:lang w:val="en-US" w:eastAsia="zh-CN"/>
        </w:rPr>
        <w:t>1、</w:t>
      </w:r>
      <w:r>
        <w:rPr>
          <w:rFonts w:hint="eastAsia" w:ascii="华文仿宋" w:hAnsi="华文仿宋" w:eastAsia="华文仿宋" w:cs="华文仿宋"/>
          <w:color w:val="333333"/>
          <w:sz w:val="28"/>
        </w:rPr>
        <w:t>简述案例实施的背景原因：如当前企业面临的困境与挑战；企业、行业的发展需求；行业政策要求；企业战略转型需求等；</w:t>
      </w:r>
    </w:p>
    <w:p w14:paraId="1A1C4A54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  <w:r>
        <w:rPr>
          <w:rFonts w:hint="eastAsia" w:ascii="华文仿宋" w:hAnsi="华文仿宋" w:eastAsia="华文仿宋" w:cs="华文仿宋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1969135</wp:posOffset>
            </wp:positionH>
            <wp:positionV relativeFrom="page">
              <wp:posOffset>1901825</wp:posOffset>
            </wp:positionV>
            <wp:extent cx="3808730" cy="2599690"/>
            <wp:effectExtent l="0" t="0" r="1270" b="165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8729" cy="2599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9CA47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</w:p>
    <w:p w14:paraId="1D71E6EE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</w:p>
    <w:p w14:paraId="780DEE72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17C4CF81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48F83EC0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60776817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5124172A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62C7AB48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0FA2E909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4379C680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1D0B23F0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 w:firstLine="150" w:firstLineChars="100"/>
        <w:jc w:val="center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sz w:val="15"/>
        </w:rPr>
        <w:t>农业农村部原常务副部长、中国奶业协会名誉会长刘成果在优质乳十周年新鲜盛典发表讲话</w:t>
      </w:r>
    </w:p>
    <w:p w14:paraId="5B90B26A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近年来，随着消费者对乳制品“新鲜、营养、安全”需求的持续提升，低温鲜奶（巴氏杀菌乳）市场迎来爆发式增长。然而，低温鲜奶作为典型的高温敏感商品，其品质高度依赖从“牧场到餐桌”全链条的冷链完整性。当前行业普遍面临以下挑战：</w:t>
      </w:r>
    </w:p>
    <w:p w14:paraId="2480166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前端冷链基础薄弱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：部分牧场冷链设施不完善，生乳挤出后降温不及时，影响源头品质。</w:t>
      </w:r>
    </w:p>
    <w:p w14:paraId="272C35F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运输过程温度波动大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：车辆温控设备参差不齐，装卸环节“断链”风险高。</w:t>
      </w:r>
    </w:p>
    <w:p w14:paraId="440F562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末端配送时效不稳定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：城配环节受路况、调度等因素影响，到店及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  <w:lang w:val="en-US" w:eastAsia="zh-CN"/>
        </w:rPr>
        <w:t>时效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难以保障。</w:t>
      </w:r>
    </w:p>
    <w:p w14:paraId="03D7DA7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信息追溯体系不完善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：全链路数据不贯通，异常发生后难以快速定位与溯源。</w:t>
      </w:r>
    </w:p>
    <w:p w14:paraId="31701B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  <w:rPr>
          <w:rFonts w:hint="eastAsia" w:ascii="华文仿宋" w:hAnsi="华文仿宋" w:eastAsia="华文仿宋" w:cs="华文仿宋"/>
          <w:sz w:val="16"/>
          <w:szCs w:val="20"/>
        </w:rPr>
      </w:pPr>
    </w:p>
    <w:p w14:paraId="742F5C16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2025年正值国家优质乳工程实施十周年。目前，优质乳工程已覆盖全国29个省（自治区、直辖市）的79家乳企，2024年优质巴氏杀菌乳产量占全国巴氏杀菌乳总量的比例达到97%。以新希望乳业为代表的优秀品牌推动优质鲜乳全面崛起，国产奶业进入“鲜活时代”。</w:t>
      </w:r>
    </w:p>
    <w:p w14:paraId="3DCDDA88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color w:val="333333"/>
          <w:sz w:val="28"/>
        </w:rPr>
      </w:pPr>
      <w:r>
        <w:rPr>
          <w:rFonts w:hint="eastAsia" w:ascii="华文仿宋" w:hAnsi="华文仿宋" w:eastAsia="华文仿宋" w:cs="华文仿宋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8045450</wp:posOffset>
            </wp:positionV>
            <wp:extent cx="3695700" cy="1797050"/>
            <wp:effectExtent l="0" t="0" r="1270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华文仿宋" w:hAnsi="华文仿宋" w:eastAsia="华文仿宋" w:cs="华文仿宋"/>
          <w:color w:val="333333"/>
          <w:sz w:val="28"/>
          <w:lang w:val="en-US" w:eastAsia="zh-CN"/>
        </w:rPr>
        <w:t>2、</w:t>
      </w:r>
      <w:r>
        <w:rPr>
          <w:rFonts w:hint="eastAsia" w:ascii="华文仿宋" w:hAnsi="华文仿宋" w:eastAsia="华文仿宋" w:cs="华文仿宋"/>
          <w:color w:val="333333"/>
          <w:sz w:val="28"/>
        </w:rPr>
        <w:t>实施此案例的目的，希望解决什么问题？或是取得何种效果？</w:t>
      </w:r>
    </w:p>
    <w:p w14:paraId="4D332BC2">
      <w:pPr>
        <w:widowControl/>
        <w:numPr>
          <w:ilvl w:val="0"/>
          <w:numId w:val="0"/>
        </w:numPr>
        <w:autoSpaceDE w:val="0"/>
        <w:autoSpaceDN w:val="0"/>
        <w:spacing w:before="846" w:after="0" w:line="312" w:lineRule="exact"/>
        <w:ind w:left="578" w:leftChars="0" w:right="0" w:rightChars="0"/>
        <w:jc w:val="left"/>
        <w:rPr>
          <w:rFonts w:hint="eastAsia" w:ascii="华文仿宋" w:hAnsi="华文仿宋" w:eastAsia="华文仿宋" w:cs="华文仿宋"/>
        </w:rPr>
      </w:pPr>
    </w:p>
    <w:p w14:paraId="0EDCA546">
      <w:pPr>
        <w:widowControl/>
        <w:numPr>
          <w:ilvl w:val="0"/>
          <w:numId w:val="0"/>
        </w:numPr>
        <w:autoSpaceDE w:val="0"/>
        <w:autoSpaceDN w:val="0"/>
        <w:spacing w:before="846" w:after="0" w:line="312" w:lineRule="exact"/>
        <w:ind w:left="578" w:leftChars="0" w:right="0" w:rightChars="0"/>
        <w:jc w:val="left"/>
        <w:rPr>
          <w:rFonts w:hint="eastAsia" w:ascii="华文仿宋" w:hAnsi="华文仿宋" w:eastAsia="华文仿宋" w:cs="华文仿宋"/>
        </w:rPr>
      </w:pPr>
    </w:p>
    <w:p w14:paraId="4D6091AD">
      <w:pPr>
        <w:widowControl/>
        <w:numPr>
          <w:ilvl w:val="0"/>
          <w:numId w:val="0"/>
        </w:numPr>
        <w:autoSpaceDE w:val="0"/>
        <w:autoSpaceDN w:val="0"/>
        <w:spacing w:before="846" w:after="0" w:line="312" w:lineRule="exact"/>
        <w:ind w:left="578" w:leftChars="0" w:right="0" w:rightChars="0"/>
        <w:jc w:val="center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sz w:val="15"/>
        </w:rPr>
        <w:t>鲜生活冷链发布优质乳冷链物流技术规范企业标准，并由运荔枝</w:t>
      </w:r>
      <w:r>
        <w:rPr>
          <w:rFonts w:hint="eastAsia" w:ascii="华文仿宋" w:hAnsi="华文仿宋" w:eastAsia="华文仿宋" w:cs="华文仿宋"/>
          <w:color w:val="000000"/>
          <w:sz w:val="15"/>
          <w:lang w:val="en-US" w:eastAsia="zh-CN"/>
        </w:rPr>
        <w:t>旗下云海店配及云牧安达</w:t>
      </w:r>
      <w:r>
        <w:rPr>
          <w:rFonts w:hint="eastAsia" w:ascii="华文仿宋" w:hAnsi="华文仿宋" w:eastAsia="华文仿宋" w:cs="华文仿宋"/>
          <w:color w:val="000000"/>
          <w:sz w:val="15"/>
        </w:rPr>
        <w:t>落地实施</w:t>
      </w:r>
    </w:p>
    <w:p w14:paraId="26CFDA26">
      <w:pPr>
        <w:widowControl/>
        <w:autoSpaceDE w:val="0"/>
        <w:autoSpaceDN w:val="0"/>
        <w:spacing w:before="226" w:after="0" w:line="220" w:lineRule="exact"/>
        <w:ind w:left="0" w:right="0"/>
        <w:rPr>
          <w:rFonts w:hint="eastAsia" w:ascii="华文仿宋" w:hAnsi="华文仿宋" w:eastAsia="华文仿宋" w:cs="华文仿宋"/>
        </w:rPr>
      </w:pPr>
    </w:p>
    <w:p w14:paraId="793BA3F2">
      <w:pPr>
        <w:widowControl/>
        <w:autoSpaceDE w:val="0"/>
        <w:autoSpaceDN w:val="0"/>
        <w:spacing w:before="0" w:after="0" w:line="336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</w:rPr>
      </w:pPr>
    </w:p>
    <w:p w14:paraId="5C8DA720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在此背景下，鲜生活冷链旗下数智物流平台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运荔枝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，依托十年优质乳冷链服务经验及数智化技术沉淀，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国内首发覆盖“牧场—工厂—仓配—门店”全场景的《优质乳冷链物流技术规范》企业标准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（标准编号：Q/CXSH010—2025），旨在通过标准化、数智化手段系统解决低温优质乳冷链物流中的痛点，推动行业从“粗放竞争”转向“精益运营”。</w:t>
      </w:r>
    </w:p>
    <w:p w14:paraId="76829460">
      <w:pPr>
        <w:widowControl/>
        <w:autoSpaceDE w:val="0"/>
        <w:autoSpaceDN w:val="0"/>
        <w:spacing w:before="816" w:after="0" w:line="334" w:lineRule="exact"/>
        <w:ind w:right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333333"/>
          <w:sz w:val="30"/>
        </w:rPr>
        <w:t>二、实施过程与路径</w:t>
      </w:r>
    </w:p>
    <w:p w14:paraId="641A6FCC">
      <w:pPr>
        <w:widowControl/>
        <w:autoSpaceDE w:val="0"/>
        <w:autoSpaceDN w:val="0"/>
        <w:spacing w:before="92" w:after="0" w:line="314" w:lineRule="exact"/>
        <w:ind w:right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333333"/>
          <w:sz w:val="28"/>
          <w:lang w:val="en-US" w:eastAsia="zh-CN"/>
        </w:rPr>
        <w:t>1、</w:t>
      </w:r>
      <w:r>
        <w:rPr>
          <w:rFonts w:hint="eastAsia" w:ascii="华文仿宋" w:hAnsi="华文仿宋" w:eastAsia="华文仿宋" w:cs="华文仿宋"/>
          <w:color w:val="333333"/>
          <w:sz w:val="28"/>
        </w:rPr>
        <w:t>怎么做。阐述案例实施周期、流程、步骤；</w:t>
      </w:r>
    </w:p>
    <w:p w14:paraId="274EB1BC">
      <w:pPr>
        <w:widowControl/>
        <w:autoSpaceDE w:val="0"/>
        <w:autoSpaceDN w:val="0"/>
        <w:spacing w:before="442" w:after="0" w:line="336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AF5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color w:val="00AF50"/>
          <w:sz w:val="24"/>
          <w:lang w:eastAsia="zh-CN"/>
        </w:rPr>
        <w:t>（</w:t>
      </w:r>
      <w:r>
        <w:rPr>
          <w:rFonts w:hint="eastAsia" w:ascii="华文仿宋" w:hAnsi="华文仿宋" w:eastAsia="华文仿宋" w:cs="华文仿宋"/>
          <w:color w:val="00AF50"/>
          <w:sz w:val="24"/>
          <w:lang w:val="en-US" w:eastAsia="zh-CN"/>
        </w:rPr>
        <w:t>一）</w:t>
      </w:r>
      <w:r>
        <w:rPr>
          <w:rFonts w:hint="eastAsia" w:ascii="华文仿宋" w:hAnsi="华文仿宋" w:eastAsia="华文仿宋" w:cs="华文仿宋"/>
          <w:color w:val="00AF50"/>
          <w:sz w:val="24"/>
        </w:rPr>
        <w:t>运输硬件标准</w:t>
      </w:r>
      <w:r>
        <w:rPr>
          <w:rFonts w:hint="eastAsia" w:ascii="华文仿宋" w:hAnsi="华文仿宋" w:eastAsia="华文仿宋" w:cs="华文仿宋"/>
          <w:color w:val="00AF50"/>
          <w:sz w:val="24"/>
          <w:lang w:eastAsia="zh-CN"/>
        </w:rPr>
        <w:t>：</w:t>
      </w:r>
      <w:r>
        <w:rPr>
          <w:rFonts w:hint="eastAsia" w:ascii="华文仿宋" w:hAnsi="华文仿宋" w:eastAsia="华文仿宋" w:cs="华文仿宋"/>
          <w:color w:val="00AF50"/>
          <w:sz w:val="24"/>
        </w:rPr>
        <w:t>全程智能监控</w:t>
      </w:r>
    </w:p>
    <w:p w14:paraId="2B154220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AF5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color w:val="000000"/>
          <w:sz w:val="24"/>
        </w:rPr>
        <w:t>“好牛奶的最大营养价值是‘天然鲜活营养’，”无论是生乳还是成品奶，其优质鲜活都离不开车辆的保障。</w:t>
      </w:r>
    </w:p>
    <w:p w14:paraId="48F22808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运荔枝旗下云牧安达作为专业农牧物流服务商，对原奶运输车辆实行严格准入：</w:t>
      </w:r>
    </w:p>
    <w:p w14:paraId="785294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both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sz w:val="22"/>
          <w:szCs w:val="22"/>
        </w:rPr>
        <w:drawing>
          <wp:inline distT="0" distB="0" distL="114300" distR="114300">
            <wp:extent cx="5989955" cy="2245995"/>
            <wp:effectExtent l="0" t="0" r="4445" b="14605"/>
            <wp:docPr id="4" name="图片 4" descr="/Users/dora/Library/Containers/com.kingsoft.wpsoffice.mac/Data/tmp/picturecompress_20260507101122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Users/dora/Library/Containers/com.kingsoft.wpsoffice.mac/Data/tmp/picturecompress_20260507101122/output_1.jpgoutput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A0FE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专用罐式货车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：全部取得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生乳准运证明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，符合QC/T23鲜奶运输车辆标准。</w:t>
      </w:r>
    </w:p>
    <w:p w14:paraId="20FF1C11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罐体密封与保温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：车载贮奶罐具备良好的密封性和保温性，罐内设有搅拌器，装载前进行CIP清洗杀菌并通过质控检测。</w:t>
      </w:r>
    </w:p>
    <w:p w14:paraId="189CC213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双监控系统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</w:t>
      </w:r>
    </w:p>
    <w:p w14:paraId="146761C5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温度+GPS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：配置实时上传功能的温度监控设备，对罐内液体温度及车辆轨迹进行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全程监控，数据保存不少于30天，设备每年校验。</w:t>
      </w:r>
    </w:p>
    <w:p w14:paraId="707246C0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影像监控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：安装无遮挡高清摄像头，对奶罐口、出奶口进行全程视频监控。</w:t>
      </w:r>
    </w:p>
    <w:p w14:paraId="6A51C50B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物理+电子铅封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：所有车辆在CIP清洁或装奶结束后加装铅封，无铅封不得离场；到厂铅封不完整则予以拒收。</w:t>
      </w:r>
    </w:p>
    <w:p w14:paraId="1BA6AC0F">
      <w:pPr>
        <w:widowControl/>
        <w:autoSpaceDE w:val="0"/>
        <w:autoSpaceDN w:val="0"/>
        <w:spacing w:before="120" w:after="0" w:line="240" w:lineRule="auto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drawing>
          <wp:inline distT="0" distB="0" distL="114300" distR="114300">
            <wp:extent cx="5834380" cy="2186940"/>
            <wp:effectExtent l="0" t="0" r="7620" b="2286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87D6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</w:rPr>
      </w:pPr>
    </w:p>
    <w:p w14:paraId="520712B6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  <w:lang w:eastAsia="zh-CN"/>
        </w:rPr>
      </w:pPr>
    </w:p>
    <w:p w14:paraId="0E7708BB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</w:rPr>
      </w:pPr>
      <w:r>
        <w:rPr>
          <w:rFonts w:hint="eastAsia" w:ascii="华文仿宋" w:hAnsi="华文仿宋" w:eastAsia="华文仿宋" w:cs="华文仿宋"/>
          <w:color w:val="000000"/>
          <w:sz w:val="24"/>
        </w:rPr>
        <w:t>而城配运输则</w:t>
      </w:r>
      <w:r>
        <w:rPr>
          <w:rFonts w:hint="eastAsia" w:ascii="华文仿宋" w:hAnsi="华文仿宋" w:eastAsia="华文仿宋" w:cs="华文仿宋"/>
          <w:color w:val="000000"/>
          <w:sz w:val="24"/>
          <w:lang w:val="en-US" w:eastAsia="zh-CN"/>
        </w:rPr>
        <w:t>是由云海店配来落地完成，</w:t>
      </w:r>
      <w:r>
        <w:rPr>
          <w:rFonts w:hint="eastAsia" w:ascii="华文仿宋" w:hAnsi="华文仿宋" w:eastAsia="华文仿宋" w:cs="华文仿宋"/>
          <w:color w:val="000000"/>
          <w:sz w:val="24"/>
        </w:rPr>
        <w:t>采用四星级以上车辆标准，100%设备智能应用，360°无死角监控。同时，积极推行低碳冷链解决方案，推广新能源冷藏车的应用，有效实现绿色减排，以实际行动践行ESG可持续发展。</w:t>
      </w:r>
    </w:p>
    <w:p w14:paraId="3E234EEA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（二）</w:t>
      </w:r>
      <w:r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30项操作规范与9大时效节点：确保冷链不断链</w:t>
      </w:r>
    </w:p>
    <w:p w14:paraId="4FCF92F3">
      <w:pPr>
        <w:widowControl/>
        <w:autoSpaceDE w:val="0"/>
        <w:autoSpaceDN w:val="0"/>
        <w:spacing w:before="120" w:after="0" w:line="240" w:lineRule="auto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drawing>
          <wp:inline distT="0" distB="0" distL="114300" distR="114300">
            <wp:extent cx="5834380" cy="2186305"/>
            <wp:effectExtent l="0" t="0" r="7620" b="2349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21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17AA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color w:val="000000"/>
          <w:sz w:val="24"/>
          <w:lang w:val="en-US" w:eastAsia="zh-CN"/>
        </w:rPr>
        <w:t>针对运输环节中常见的“断链”风险，运荔枝构建9项关键时效节点与30项操作规范，从“牧场—工厂—仓配—门店”全场景覆盖，实现运输环节中的温度标准、时效标准及预警机制，有章可循，确保乳品损耗有效降低。</w:t>
      </w:r>
    </w:p>
    <w:p w14:paraId="3C861241">
      <w:pPr>
        <w:widowControl/>
        <w:numPr>
          <w:ilvl w:val="0"/>
          <w:numId w:val="5"/>
        </w:numPr>
        <w:autoSpaceDE w:val="0"/>
        <w:autoSpaceDN w:val="0"/>
        <w:spacing w:before="180" w:after="0" w:line="312" w:lineRule="exact"/>
        <w:ind w:left="420" w:leftChars="0" w:right="0" w:hanging="420" w:firstLineChars="0"/>
        <w:jc w:val="left"/>
        <w:rPr>
          <w:rFonts w:hint="default" w:ascii="华文仿宋" w:hAnsi="华文仿宋" w:eastAsia="华文仿宋" w:cs="华文仿宋"/>
          <w:b/>
          <w:bCs/>
          <w:color w:val="00000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sz w:val="24"/>
          <w:lang w:val="en-US" w:eastAsia="zh-CN"/>
        </w:rPr>
        <w:t>生乳运输关键操作规范（部分）</w:t>
      </w:r>
    </w:p>
    <w:p w14:paraId="6382825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快速降温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：生乳挤出后快速降温至0-4℃方可装车。</w:t>
      </w:r>
    </w:p>
    <w:p w14:paraId="2618BA4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温控要求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：运输过程中生乳温度控制在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0-6℃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，运输时间≤30小时时温升≤1℃，≥30小时时温升≤2℃。</w:t>
      </w:r>
    </w:p>
    <w:p w14:paraId="604F389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过滤与防尘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：装车时加装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200目以上过滤网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，禁止水顶奶操作；对罐口、出奶口等加装防尘设施并铅封。</w:t>
      </w:r>
    </w:p>
    <w:p w14:paraId="2774AA5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严禁混装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：不同牧场的生乳不得混装，随车附带该批次原奶理化指标质检报告。</w:t>
      </w:r>
    </w:p>
    <w:p w14:paraId="6FE8801C">
      <w:pPr>
        <w:widowControl/>
        <w:numPr>
          <w:ilvl w:val="0"/>
          <w:numId w:val="5"/>
        </w:numPr>
        <w:autoSpaceDE w:val="0"/>
        <w:autoSpaceDN w:val="0"/>
        <w:spacing w:before="180" w:after="0" w:line="312" w:lineRule="exact"/>
        <w:ind w:left="420" w:leftChars="0" w:right="0" w:hanging="420" w:firstLineChars="0"/>
        <w:jc w:val="left"/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  <w:t>成品奶运输关键操作规范（部分）</w:t>
      </w:r>
    </w:p>
    <w:p w14:paraId="75D3907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车辆预冷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：装车前车厢预冷至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0-6℃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才能装货。</w:t>
      </w:r>
    </w:p>
    <w:p w14:paraId="21EFC1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码放规范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：根据包装承重分层码放，顶层距离车顶留出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≥15cm风道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，使用干燥塑料托盘。</w:t>
      </w:r>
    </w:p>
    <w:p w14:paraId="4EC2403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车温度控制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：装车完毕关门锁封，原地打冷至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2-6℃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方可离仓。</w:t>
      </w:r>
    </w:p>
    <w:p w14:paraId="324633E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卸货时间限制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：开门卸货时车厢超过6℃的时间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不超过20分钟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。</w:t>
      </w:r>
    </w:p>
    <w:p w14:paraId="12079963">
      <w:pPr>
        <w:widowControl/>
        <w:numPr>
          <w:ilvl w:val="0"/>
          <w:numId w:val="5"/>
        </w:numPr>
        <w:autoSpaceDE w:val="0"/>
        <w:autoSpaceDN w:val="0"/>
        <w:spacing w:before="180" w:after="0" w:line="312" w:lineRule="exact"/>
        <w:ind w:left="420" w:leftChars="0" w:right="0" w:hanging="420" w:firstLineChars="0"/>
        <w:jc w:val="left"/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  <w:t>9大时效节点与预警机制</w:t>
      </w:r>
    </w:p>
    <w:p w14:paraId="7A0017CC"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</w:p>
    <w:p w14:paraId="4289309B">
      <w:pPr>
        <w:keepNext w:val="0"/>
        <w:keepLines w:val="0"/>
        <w:widowControl/>
        <w:suppressLineNumbers w:val="0"/>
        <w:jc w:val="left"/>
        <w:rPr>
          <w:rFonts w:hint="default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  <w:t>所有节点在运荔枝数智化系统中实现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  <w:t>自动卡控与预警，任一环节触发预警即启动分级响应，确保实时干预、不断链。</w:t>
      </w:r>
    </w:p>
    <w:p w14:paraId="39F7AB4A"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</w:p>
    <w:tbl>
      <w:tblPr>
        <w:tblStyle w:val="4"/>
        <w:tblW w:w="95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508"/>
        <w:gridCol w:w="3432"/>
        <w:gridCol w:w="3615"/>
      </w:tblGrid>
      <w:tr w14:paraId="5A558DF5">
        <w:trPr>
          <w:trHeight w:val="289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A2D60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节点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bidi="ar"/>
              </w:rPr>
              <w:t>编号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C5DB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时效节点名称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BB694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规范性要求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420E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预警机制</w:t>
            </w:r>
          </w:p>
        </w:tc>
      </w:tr>
      <w:tr w14:paraId="0DAB519F"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E54A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T01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8353E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订单确认时间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F4BD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客户订单发出之后0.5小时内完成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0F7E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客户订单发出后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0.5小时内未确认触发</w:t>
            </w:r>
          </w:p>
        </w:tc>
      </w:tr>
      <w:tr w14:paraId="3575796F"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24BCF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T02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53AE0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调度派车时间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DA76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订单确认后1小时内完成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4DFE5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订单确认时间后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0.5小时未派单触发</w:t>
            </w:r>
          </w:p>
        </w:tc>
      </w:tr>
      <w:tr w14:paraId="6D598960"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23844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T03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1F468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司机接单时间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C2FB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派车单发出后0.5小时内完成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9997D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调度派车时间后0.5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小时未接单触发</w:t>
            </w:r>
          </w:p>
        </w:tc>
      </w:tr>
      <w:tr w14:paraId="5FFF91DA"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EDED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T04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7F35E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司机到仓时间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FAD32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要求取货时间前1.5小时到仓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7966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yellow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要求取货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时间前1.5小时未到仓触发</w:t>
            </w:r>
          </w:p>
        </w:tc>
      </w:tr>
      <w:tr w14:paraId="2B7407B7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08AF6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T05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17E1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车辆审核时间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8B9C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车辆到仓后0.5小时内完成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12D61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车辆到仓后20min未完成触发</w:t>
            </w:r>
          </w:p>
        </w:tc>
      </w:tr>
      <w:tr w14:paraId="65E60F45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09CAD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T06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56142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预冷完成时间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6EDB2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要求取货时间前0.5小时内完成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A30E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要求取货时间前45min未完成触发</w:t>
            </w:r>
          </w:p>
        </w:tc>
      </w:tr>
      <w:tr w14:paraId="77FA98FD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85D86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T06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757B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装货完成时间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9D6A4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要求取货时间前完成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9C7BD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要求取货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时间前15min未完成触发</w:t>
            </w:r>
          </w:p>
        </w:tc>
      </w:tr>
      <w:tr w14:paraId="06CC4F83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C3A0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T07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02B7F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车辆离仓时间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C7C05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装货完成后20分钟内离开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B64F1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装货完成后15分钟内未离开触发</w:t>
            </w:r>
          </w:p>
        </w:tc>
      </w:tr>
      <w:tr w14:paraId="255CD1C0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82CB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T08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DF00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车辆到达时间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B4A4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要求送达时间正负0.5小时内到达</w:t>
            </w:r>
          </w:p>
          <w:p w14:paraId="3B1EE1A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或按照客户规定送达时间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7A1F8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要求送达最晚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时间前1小时未到达触发 </w:t>
            </w:r>
          </w:p>
        </w:tc>
      </w:tr>
      <w:tr w14:paraId="7C255F45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DC80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T09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FF00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货品签收时间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656F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要求送达时间前完成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C4DB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车辆离开收货站点且未签收触发</w:t>
            </w:r>
          </w:p>
        </w:tc>
      </w:tr>
    </w:tbl>
    <w:p w14:paraId="1716E01E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（三）</w:t>
      </w:r>
      <w:r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9项数智产品：全链路效率与安全双提升</w:t>
      </w:r>
    </w:p>
    <w:p w14:paraId="489C633A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运荔枝依托数智化底座，打造了覆盖“指引—监管—预警—卡控”全流程的数智产品矩阵，核心包括：</w:t>
      </w:r>
    </w:p>
    <w:p w14:paraId="1DF210C5"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荔途守望（物流大屏）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  <w:t>数智产品“荔途守望”提供物流大屏、运途管理、异常监控、数据分析等四大核心价值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  <w:t>。客户可以通过荔途守望直接透明查看服务全流程质量、实时监管服务过程、服务异常实时信息追溯追责，真正做到心中有数。同时，高效规避运途中的食安风险，确保每一车货都准时必达。</w:t>
      </w:r>
    </w:p>
    <w:p w14:paraId="1921098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</w:p>
    <w:p w14:paraId="7DC2F6A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  <w:lang w:eastAsia="zh-CN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  <w:lang w:eastAsia="zh-CN"/>
        </w:rPr>
        <w:drawing>
          <wp:inline distT="0" distB="0" distL="114300" distR="114300">
            <wp:extent cx="5987415" cy="3368675"/>
            <wp:effectExtent l="0" t="0" r="6985" b="9525"/>
            <wp:docPr id="10" name="图片 10" descr="94611d37c922b477adede6c0b8a6bd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4611d37c922b477adede6c0b8a6bd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BFA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智能排线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基于大数据算法，为城配业务规划最优配送路线，提升满载率与配送时效，降低运营成本。</w:t>
      </w:r>
    </w:p>
    <w:p w14:paraId="3D9F05F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AI预警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对温度异常、轨迹偏离、时效超差等自动分级预警，支持四级响应机制。</w:t>
      </w:r>
    </w:p>
    <w:p w14:paraId="1472E13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食安溯源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打通牧场、工厂、仓配、门店数据，实现“一码溯源”，异常点可快速定位。</w:t>
      </w:r>
    </w:p>
    <w:p w14:paraId="7FA78D5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仓可视化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冷库内温湿度、库存状态、作业进度实时可视，支持远程巡检。</w:t>
      </w:r>
    </w:p>
    <w:p w14:paraId="2A94BFBF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任务推送与卡控</w:t>
      </w:r>
    </w:p>
    <w:p w14:paraId="23BCC226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车辆卫生检查：司机到仓后拍照上传车厢内外照片，运营后台核验。</w:t>
      </w:r>
    </w:p>
    <w:p w14:paraId="22DEC428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预冷温度卡控：不合格无法系统装车。</w:t>
      </w:r>
    </w:p>
    <w:p w14:paraId="32B4ED1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发车温度卡控：不合格无法操作发车。</w:t>
      </w:r>
    </w:p>
    <w:p w14:paraId="6272021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逆向物资登记：录入周转箱/保温箱数量。</w:t>
      </w:r>
    </w:p>
    <w:p w14:paraId="0CD8CA8B">
      <w:pPr>
        <w:widowControl/>
        <w:numPr>
          <w:ilvl w:val="0"/>
          <w:numId w:val="6"/>
        </w:numPr>
        <w:autoSpaceDE w:val="0"/>
        <w:autoSpaceDN w:val="0"/>
        <w:spacing w:before="944" w:after="0" w:line="334" w:lineRule="exact"/>
        <w:ind w:right="0"/>
        <w:jc w:val="left"/>
        <w:rPr>
          <w:rFonts w:hint="eastAsia" w:ascii="华文仿宋" w:hAnsi="华文仿宋" w:eastAsia="华文仿宋" w:cs="华文仿宋"/>
          <w:b/>
          <w:color w:val="333333"/>
          <w:sz w:val="30"/>
        </w:rPr>
      </w:pPr>
      <w:r>
        <w:rPr>
          <w:rFonts w:hint="eastAsia" w:ascii="华文仿宋" w:hAnsi="华文仿宋" w:eastAsia="华文仿宋" w:cs="华文仿宋"/>
          <w:b/>
          <w:color w:val="333333"/>
          <w:sz w:val="30"/>
        </w:rPr>
        <w:t>成果和价值</w:t>
      </w:r>
    </w:p>
    <w:p w14:paraId="70E49032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（一）</w:t>
      </w:r>
      <w:r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量化成效数据</w:t>
      </w:r>
    </w:p>
    <w:p w14:paraId="773FFA07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991225" cy="2472690"/>
            <wp:effectExtent l="0" t="0" r="3175" b="1651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543A">
      <w:pPr>
        <w:widowControl/>
        <w:autoSpaceDE w:val="0"/>
        <w:autoSpaceDN w:val="0"/>
        <w:spacing w:before="470" w:after="0" w:line="312" w:lineRule="exact"/>
        <w:ind w:left="0" w:right="140" w:firstLine="0"/>
        <w:jc w:val="both"/>
        <w:rPr>
          <w:rFonts w:hint="eastAsia" w:ascii="华文仿宋" w:hAnsi="华文仿宋" w:eastAsia="华文仿宋" w:cs="华文仿宋"/>
          <w:color w:val="000000"/>
          <w:sz w:val="24"/>
        </w:rPr>
      </w:pPr>
      <w:r>
        <w:rPr>
          <w:rFonts w:hint="eastAsia" w:ascii="华文仿宋" w:hAnsi="华文仿宋" w:eastAsia="华文仿宋" w:cs="华文仿宋"/>
          <w:color w:val="000000"/>
          <w:sz w:val="24"/>
        </w:rPr>
        <w:t>针对低温优质乳的标准化建设不仅推动自身提质增效，更赋能行业从“粗放竞争”转向“精益运营”。自标准实施以来，到仓及时率稳定在99.5%以上，到店及时率最高达99.9%，终端配送环节的时效管控稳定可靠；温度达标率在数智化系统的检测与辅助下稳定在99.9%以上。</w:t>
      </w:r>
    </w:p>
    <w:p w14:paraId="57A42A2E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（二）</w:t>
      </w:r>
      <w:r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创新点提炼</w:t>
      </w:r>
    </w:p>
    <w:p w14:paraId="121A80B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  <w:lang w:val="en-US" w:eastAsia="zh-CN"/>
        </w:rPr>
        <w:t>1、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标准首创性与系统性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国内首个覆盖“牧场—工厂—仓配—门店”全场景的优质乳冷链物流企业标准，填补了行业空白。</w:t>
      </w:r>
    </w:p>
    <w:p w14:paraId="652FDFB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  <w:lang w:val="en-US" w:eastAsia="zh-CN"/>
        </w:rPr>
        <w:t>2、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标准与数智化深度绑定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将30项操作规范、9大时效节点、9项数智功能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固化到系统流程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，实现“标准即流程、流程即卡控”，杜绝人为偏差。</w:t>
      </w:r>
    </w:p>
    <w:p w14:paraId="074B174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  <w:lang w:val="en-US" w:eastAsia="zh-CN"/>
        </w:rPr>
        <w:t>3、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分级预警与闭环管理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建立四级预警机制（温度、时效、设备、合规），配套应急预案与处置SOP，实现“异常早发现、快处置、可追溯”。</w:t>
      </w:r>
    </w:p>
    <w:p w14:paraId="55EDEDF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  <w:lang w:val="en-US" w:eastAsia="zh-CN"/>
        </w:rPr>
        <w:t>4、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绿色低碳融合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推广新能源冷藏车，量化碳排放数据，将ESG理念融入冷链标准。</w:t>
      </w:r>
    </w:p>
    <w:p w14:paraId="5BFFAA97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（三）推广复制价值</w:t>
      </w:r>
    </w:p>
    <w:p w14:paraId="20A6089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18"/>
          <w:szCs w:val="18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行业赋能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1"/>
          <w:szCs w:val="21"/>
        </w:rPr>
        <w:t>：该标准已在新希望乳业等头部乳企全面落地，并向中小乳企开放技术规范与数智化工具，帮助行业整体提升冷链水平。</w:t>
      </w:r>
    </w:p>
    <w:p w14:paraId="561761F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18"/>
          <w:szCs w:val="18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跨品类复制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1"/>
          <w:szCs w:val="21"/>
        </w:rPr>
        <w:t>：标准中的温控、时效、追溯等核心模块可平移至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冰品、鲜肉、鲜食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1"/>
          <w:szCs w:val="21"/>
        </w:rPr>
        <w:t>等短保食品品类，具备极强的横向复制能力。</w:t>
      </w:r>
    </w:p>
    <w:p w14:paraId="5A4C804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政策协同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1"/>
          <w:szCs w:val="21"/>
        </w:rPr>
        <w:t>：与国家优质乳工程、食品安全“两个责任”等政策高度契合，可作为行业团体标准或国家标准的前期实践基础。</w:t>
      </w:r>
    </w:p>
    <w:p w14:paraId="3EE1748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lang w:eastAsia="zh-CN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1"/>
          <w:szCs w:val="21"/>
        </w:rPr>
        <w:t>运荔枝通过“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标准+数智+运营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1"/>
          <w:szCs w:val="21"/>
        </w:rPr>
        <w:t>”三位一体的模式，不仅</w:t>
      </w:r>
      <w:bookmarkStart w:id="0" w:name="_GoBack"/>
      <w:bookmarkEnd w:id="0"/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1"/>
          <w:szCs w:val="21"/>
        </w:rPr>
        <w:t>实现了自身服务能力的跃升，更形成了可输出、可复制的冷链物流创新解决方案，为食品行业高质量发展提供了坚实底座。</w:t>
      </w:r>
    </w:p>
    <w:sectPr>
      <w:pgSz w:w="11906" w:h="17238"/>
      <w:pgMar w:top="420" w:right="1166" w:bottom="376" w:left="1304" w:header="720" w:footer="720" w:gutter="0"/>
      <w:cols w:equalWidth="0" w:num="1">
        <w:col w:w="9436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V2qOW3R+FZFSK">
    <w:altName w:val="华文宋体"/>
    <w:panose1 w:val="02000503000000000000"/>
    <w:charset w:val="86"/>
    <w:family w:val="auto"/>
    <w:pitch w:val="default"/>
    <w:sig w:usb0="00000000" w:usb1="00000000" w:usb2="00000016" w:usb3="00000000" w:csb0="20160004" w:csb1="C0120000"/>
  </w:font>
  <w:font w:name="GAy9NoOR+HYShuSongErKW">
    <w:altName w:val="华文宋体"/>
    <w:panose1 w:val="02000503000000000000"/>
    <w:charset w:val="86"/>
    <w:family w:val="auto"/>
    <w:pitch w:val="default"/>
    <w:sig w:usb0="00000000" w:usb1="00000000" w:usb2="00000016" w:usb3="00000000" w:csb0="20160004" w:csb1="C012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5k0q77yi+TimesNewRomanPSMT">
    <w:altName w:val="Times New Roman"/>
    <w:panose1 w:val="02000503000000000000"/>
    <w:charset w:val="00"/>
    <w:family w:val="auto"/>
    <w:pitch w:val="default"/>
    <w:sig w:usb0="00000000" w:usb1="00000000" w:usb2="00000029" w:usb3="00000000" w:csb0="600001FF" w:csb1="FFFF0000"/>
  </w:font>
  <w:font w:name="kqFgJ4XJ+STKaitiSC">
    <w:altName w:val="华文宋体"/>
    <w:panose1 w:val="02000503000000000000"/>
    <w:charset w:val="86"/>
    <w:family w:val="auto"/>
    <w:pitch w:val="default"/>
    <w:sig w:usb0="00000000" w:usb1="00000000" w:usb2="00000016" w:usb3="00000000" w:csb0="E016019F" w:csb1="DFD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urmukhi MN Regular">
    <w:panose1 w:val="02020600050405020304"/>
    <w:charset w:val="00"/>
    <w:family w:val="auto"/>
    <w:pitch w:val="default"/>
    <w:sig w:usb0="80100003" w:usb1="00002000" w:usb2="00000000" w:usb3="00000000" w:csb0="00000001" w:csb1="00000000"/>
  </w:font>
  <w:font w:name="Gill Sans Regular">
    <w:panose1 w:val="020B0502020104020203"/>
    <w:charset w:val="00"/>
    <w:family w:val="auto"/>
    <w:pitch w:val="default"/>
    <w:sig w:usb0="80000267" w:usb1="00000000" w:usb2="00000000" w:usb3="00000000" w:csb0="200001F7" w:csb1="CFFE0000"/>
  </w:font>
  <w:font w:name="阿里妈妈数黑体">
    <w:panose1 w:val="00000000000000000000"/>
    <w:charset w:val="86"/>
    <w:family w:val="auto"/>
    <w:pitch w:val="default"/>
    <w:sig w:usb0="00000003" w:usb1="08010000" w:usb2="00000000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hkwang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Gurmukhi MT">
    <w:panose1 w:val="00000000000000000000"/>
    <w:charset w:val="00"/>
    <w:family w:val="auto"/>
    <w:pitch w:val="default"/>
    <w:sig w:usb0="80028003" w:usb1="1000C0C0" w:usb2="00000000" w:usb3="00000000" w:csb0="00000001" w:csb1="00000000"/>
  </w:font>
  <w:font w:name="GB18030 Bitmap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0B395"/>
    <w:multiLevelType w:val="singleLevel"/>
    <w:tmpl w:val="89B0B3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FE7044"/>
    <w:multiLevelType w:val="singleLevel"/>
    <w:tmpl w:val="D2FE704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67B8758"/>
    <w:multiLevelType w:val="multilevel"/>
    <w:tmpl w:val="F67B8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7E752A"/>
    <w:multiLevelType w:val="singleLevel"/>
    <w:tmpl w:val="FF7E75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BEF61D1"/>
    <w:multiLevelType w:val="singleLevel"/>
    <w:tmpl w:val="6BEF61D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DFE2CF1"/>
    <w:multiLevelType w:val="singleLevel"/>
    <w:tmpl w:val="6DFE2C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F3DA08"/>
    <w:rsid w:val="EE7FC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          </cp:lastModifiedBy>
  <dcterms:modified xsi:type="dcterms:W3CDTF">2026-05-07T10:33:17Z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825EC828C79260486CF1FB6901B396A5_42</vt:lpwstr>
  </property>
</Properties>
</file>