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第一部分 成都介绍 （1min左右</w:t>
      </w:r>
      <w:r>
        <w:rPr>
          <w:rFonts w:hint="default"/>
          <w:b/>
          <w:bCs/>
          <w:lang w:val="en-US" w:eastAsia="zh-CN"/>
        </w:rPr>
        <w:t>,</w:t>
      </w:r>
      <w:r>
        <w:rPr>
          <w:rFonts w:hint="eastAsia"/>
          <w:b/>
          <w:bCs/>
          <w:lang w:val="en-US" w:eastAsia="zh-CN"/>
        </w:rPr>
        <w:t>位置根据需要调整）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成都，位于享有“天府之国”之称的四川盆地西部，地理优越、物产丰富、人杰地灵，是国家重要的高新技术产业基地，也是西部地区最具经济实力和影响力的国家级中心城市。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2022年，成都将全面建成立足四川、服务西部、具有国际影响力的国家西部金融中心，率先在“科技金融”、“农村金融”、“消费金融”、“供应链金融”、“绿色金融”、“文化金融”六大领域实现全面突破。（众多高校，互联网公司在成都设立研发中心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(视频素材:成都市地标、特色、风俗，天府新区建筑群)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金融科技对农行的影响&amp;软开介绍 （3min左右）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当前信息技术革命日新月异，</w:t>
      </w:r>
      <w:r>
        <w:rPr>
          <w:rFonts w:hint="eastAsia"/>
          <w:b/>
          <w:bCs/>
          <w:lang w:val="en-US" w:eastAsia="zh-CN"/>
        </w:rPr>
        <w:t>互联网、大数据、云计算和人工智能</w:t>
      </w:r>
      <w:r>
        <w:rPr>
          <w:rFonts w:hint="eastAsia"/>
          <w:lang w:val="en-US" w:eastAsia="zh-CN"/>
        </w:rPr>
        <w:t>等新技术与金融的深度融合，深刻改变了人们的生产和生活方式，金融正处于这次科技浪潮冲击的中心。在中国经济进入高质量发展新时代之际，现代银行业也进入了金融科技革命的新阶段，传统商业模式和商业机构受到冲击，孕育着500年来前所未有的大变局。（背景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在金融科技浪潮面前，农业银行加紧行动、积极</w:t>
      </w:r>
      <w:r>
        <w:rPr>
          <w:rFonts w:hint="eastAsia"/>
          <w:sz w:val="21"/>
          <w:szCs w:val="21"/>
          <w:lang w:val="en-US" w:eastAsia="zh-CN"/>
        </w:rPr>
        <w:t>应对</w:t>
      </w:r>
      <w:r>
        <w:rPr>
          <w:rFonts w:hint="eastAsia" w:ascii="宋体" w:hAnsi="宋体"/>
          <w:color w:val="000000"/>
          <w:sz w:val="21"/>
          <w:szCs w:val="21"/>
        </w:rPr>
        <w:t>，</w:t>
      </w:r>
      <w:r>
        <w:rPr>
          <w:rFonts w:hint="eastAsia"/>
          <w:b/>
          <w:bCs/>
          <w:lang w:val="en-US" w:eastAsia="zh-CN"/>
        </w:rPr>
        <w:t>周董事长指出</w:t>
      </w:r>
      <w:r>
        <w:rPr>
          <w:rFonts w:hint="eastAsia"/>
          <w:lang w:val="en-US" w:eastAsia="zh-CN"/>
        </w:rPr>
        <w:t>：现在已经进入金融科技革命新阶段，农业银行拥抱金融科技，已经不是“要不要”的问题，而是“怎么干”、“赶快干”的问题”。</w:t>
      </w:r>
      <w:r>
        <w:rPr>
          <w:rFonts w:hint="eastAsia" w:ascii="宋体" w:hAnsi="宋体"/>
          <w:b/>
          <w:bCs/>
          <w:color w:val="000000"/>
          <w:sz w:val="21"/>
          <w:szCs w:val="21"/>
        </w:rPr>
        <w:t>行党委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高瞻远瞩，提出</w:t>
      </w:r>
      <w:r>
        <w:rPr>
          <w:rFonts w:hint="eastAsia" w:ascii="宋体" w:hAnsi="宋体"/>
          <w:color w:val="000000"/>
          <w:sz w:val="20"/>
        </w:rPr>
        <w:t>全局性</w:t>
      </w:r>
      <w:r>
        <w:rPr>
          <w:rFonts w:hint="eastAsia" w:ascii="宋体" w:hAnsi="宋体"/>
          <w:color w:val="000000"/>
          <w:sz w:val="20"/>
          <w:lang w:eastAsia="zh-CN"/>
        </w:rPr>
        <w:t>、</w:t>
      </w:r>
      <w:r>
        <w:rPr>
          <w:rFonts w:hint="eastAsia" w:ascii="宋体" w:hAnsi="宋体"/>
          <w:color w:val="000000"/>
          <w:sz w:val="20"/>
        </w:rPr>
        <w:t>前瞻性战略构想，</w:t>
      </w:r>
      <w:r>
        <w:rPr>
          <w:rFonts w:hint="eastAsia" w:ascii="宋体" w:hAnsi="宋体"/>
          <w:b/>
          <w:bCs/>
          <w:color w:val="000000"/>
          <w:sz w:val="20"/>
        </w:rPr>
        <w:t>创新</w:t>
      </w:r>
      <w:r>
        <w:rPr>
          <w:rFonts w:hint="eastAsia" w:ascii="宋体" w:hAnsi="宋体"/>
          <w:b/>
          <w:bCs/>
          <w:color w:val="000000"/>
          <w:sz w:val="20"/>
          <w:lang w:val="en-US" w:eastAsia="zh-CN"/>
        </w:rPr>
        <w:t>科技</w:t>
      </w:r>
      <w:r>
        <w:rPr>
          <w:rFonts w:hint="eastAsia" w:ascii="宋体" w:hAnsi="宋体"/>
          <w:b/>
          <w:bCs/>
          <w:color w:val="000000"/>
          <w:sz w:val="20"/>
        </w:rPr>
        <w:t>体制机制改革</w:t>
      </w:r>
      <w:r>
        <w:rPr>
          <w:rFonts w:hint="eastAsia" w:ascii="宋体" w:hAnsi="宋体"/>
          <w:color w:val="000000"/>
          <w:sz w:val="20"/>
        </w:rPr>
        <w:t>，突出市场化和信息化导向，</w:t>
      </w:r>
      <w:r>
        <w:rPr>
          <w:rFonts w:hint="eastAsia" w:ascii="宋体" w:hAnsi="宋体"/>
          <w:color w:val="000000"/>
          <w:sz w:val="20"/>
          <w:lang w:val="en-US" w:eastAsia="zh-CN"/>
        </w:rPr>
        <w:t>优化</w:t>
      </w:r>
      <w:r>
        <w:rPr>
          <w:rFonts w:hint="eastAsia" w:ascii="宋体" w:hAnsi="宋体"/>
          <w:color w:val="000000"/>
          <w:sz w:val="20"/>
        </w:rPr>
        <w:t>资源配置激励</w:t>
      </w:r>
      <w:r>
        <w:rPr>
          <w:rFonts w:hint="eastAsia" w:ascii="宋体" w:hAnsi="宋体"/>
          <w:color w:val="000000"/>
          <w:sz w:val="20"/>
          <w:lang w:eastAsia="zh-CN"/>
        </w:rPr>
        <w:t>，</w:t>
      </w:r>
      <w:r>
        <w:rPr>
          <w:rFonts w:hint="eastAsia" w:ascii="宋体" w:hAnsi="宋体"/>
          <w:color w:val="000000"/>
          <w:sz w:val="20"/>
        </w:rPr>
        <w:t>倒逼科技化发展转型，为实现金融科技时代的弯道超车、换道超越做好准备。</w:t>
      </w:r>
      <w:r>
        <w:rPr>
          <w:rFonts w:hint="eastAsia"/>
          <w:lang w:val="en-US" w:eastAsia="zh-CN"/>
        </w:rPr>
        <w:t>（总行党委）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软件开发中心积极践行治行、兴行“六维方略”，加快推进“</w:t>
      </w:r>
      <w:r>
        <w:rPr>
          <w:rFonts w:hint="eastAsia"/>
          <w:b/>
          <w:bCs/>
          <w:lang w:val="en-US" w:eastAsia="zh-CN"/>
        </w:rPr>
        <w:t>信息化银行</w:t>
      </w:r>
      <w:r>
        <w:rPr>
          <w:rFonts w:hint="eastAsia"/>
          <w:lang w:val="en-US" w:eastAsia="zh-CN"/>
        </w:rPr>
        <w:t>”建设，不断推动从</w:t>
      </w:r>
      <w:r>
        <w:rPr>
          <w:rFonts w:hint="eastAsia"/>
          <w:b/>
          <w:bCs/>
          <w:lang w:val="en-US" w:eastAsia="zh-CN"/>
        </w:rPr>
        <w:t>开发中心向研发中心</w:t>
      </w:r>
      <w:r>
        <w:rPr>
          <w:rFonts w:hint="eastAsia"/>
          <w:lang w:val="en-US" w:eastAsia="zh-CN"/>
        </w:rPr>
        <w:t>的转型，为全行经营转型和改革发展提供更强有力的科技支撑，强化客户经营中的数据驱动、价值导向，建成智能化、场景化、一体化的渠道体系，实现标准化、集约化运营。大力研发运用金融科技，</w:t>
      </w:r>
      <w:r>
        <w:rPr>
          <w:rFonts w:hint="eastAsia" w:ascii="宋体" w:hAnsi="宋体"/>
          <w:color w:val="000000"/>
          <w:sz w:val="20"/>
        </w:rPr>
        <w:t>加快推动前沿技术的落地应用</w:t>
      </w:r>
      <w:r>
        <w:rPr>
          <w:rFonts w:hint="eastAsia" w:ascii="宋体" w:hAnsi="宋体"/>
          <w:color w:val="000000"/>
          <w:sz w:val="20"/>
          <w:lang w:eastAsia="zh-CN"/>
        </w:rPr>
        <w:t>，</w:t>
      </w:r>
      <w:r>
        <w:rPr>
          <w:rFonts w:hint="eastAsia"/>
          <w:lang w:val="en-US" w:eastAsia="zh-CN"/>
        </w:rPr>
        <w:t>提升获客活客留客能力、风险控制能力和经营决策能力，抢占金融科技时代的竞争制高点（补充近两年亮点：如BoEing系统优化，与互联网金融公司合作开发金融大脑等，增加新版掌银的图片）。同时，</w:t>
      </w:r>
      <w:r>
        <w:rPr>
          <w:rFonts w:hint="eastAsia" w:ascii="宋体" w:hAnsi="宋体"/>
          <w:color w:val="000000"/>
          <w:sz w:val="20"/>
        </w:rPr>
        <w:t>为进一步增强科技创新能力，</w:t>
      </w:r>
      <w:r>
        <w:rPr>
          <w:rFonts w:hint="eastAsia"/>
          <w:lang w:val="en-US" w:eastAsia="zh-CN"/>
        </w:rPr>
        <w:t>优化调整组织架构和管理模式，</w:t>
      </w:r>
      <w:r>
        <w:rPr>
          <w:rFonts w:hint="eastAsia" w:ascii="宋体" w:hAnsi="宋体"/>
          <w:color w:val="000000"/>
          <w:sz w:val="20"/>
        </w:rPr>
        <w:t>创新研发模式</w:t>
      </w:r>
      <w:r>
        <w:rPr>
          <w:rFonts w:hint="eastAsia" w:ascii="宋体" w:hAnsi="宋体"/>
          <w:color w:val="000000"/>
          <w:sz w:val="20"/>
          <w:lang w:eastAsia="zh-CN"/>
        </w:rPr>
        <w:t>。</w:t>
      </w:r>
      <w:r>
        <w:rPr>
          <w:rFonts w:hint="eastAsia" w:ascii="宋体" w:hAnsi="宋体"/>
          <w:color w:val="000000"/>
          <w:sz w:val="20"/>
          <w:lang w:val="en-US" w:eastAsia="zh-CN"/>
        </w:rPr>
        <w:t>在</w:t>
      </w:r>
      <w:r>
        <w:rPr>
          <w:rFonts w:hint="eastAsia"/>
          <w:lang w:val="en-US" w:eastAsia="zh-CN"/>
        </w:rPr>
        <w:t>“一局两中心”的基础上，建立健全“</w:t>
      </w:r>
      <w:r>
        <w:rPr>
          <w:rFonts w:hint="eastAsia"/>
          <w:b/>
          <w:bCs/>
          <w:lang w:val="en-US" w:eastAsia="zh-CN"/>
        </w:rPr>
        <w:t>业技融合”的联合创新体系</w:t>
      </w:r>
      <w:r>
        <w:rPr>
          <w:rFonts w:hint="eastAsia"/>
          <w:lang w:val="en-US" w:eastAsia="zh-CN"/>
        </w:rPr>
        <w:t>，科技部门全流程参与，业务部门全方位介入，加快探索“</w:t>
      </w:r>
      <w:r>
        <w:rPr>
          <w:rFonts w:hint="eastAsia"/>
          <w:b/>
          <w:bCs/>
          <w:lang w:val="en-US" w:eastAsia="zh-CN"/>
        </w:rPr>
        <w:t>敏捷开发、快速迭代</w:t>
      </w:r>
      <w:r>
        <w:rPr>
          <w:rFonts w:hint="eastAsia"/>
          <w:lang w:val="en-US" w:eastAsia="zh-CN"/>
        </w:rPr>
        <w:t>”模式，加速响应市场变化，有效满足客户需求。(视频素材:从中心宣传材料中剪辑)（软开）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第三部分 成研进展 （3min左右）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党委高度重视科技工作和科技人才队伍建设，周董事长指出“一定要创造适应科技系统开发的人才管理模式，花大力气、下本钱着力解决好当前困扰科技发展的人员问题和机制问题。”针对农行科技开发人员紧张的现状，总行提出“</w:t>
      </w:r>
      <w:r>
        <w:rPr>
          <w:rFonts w:hint="eastAsia" w:ascii="宋体" w:hAnsi="宋体"/>
          <w:color w:val="000000"/>
          <w:sz w:val="20"/>
        </w:rPr>
        <w:t>优化信息科技机构布局，重点加强京外软件研发部建设”的规划</w:t>
      </w:r>
      <w:r>
        <w:rPr>
          <w:rFonts w:hint="eastAsia" w:ascii="宋体" w:hAnsi="宋体"/>
          <w:color w:val="000000"/>
          <w:sz w:val="20"/>
          <w:lang w:eastAsia="zh-CN"/>
        </w:rPr>
        <w:t>，</w:t>
      </w:r>
      <w:r>
        <w:rPr>
          <w:rFonts w:hint="eastAsia" w:ascii="宋体" w:hAnsi="宋体"/>
          <w:color w:val="000000"/>
          <w:sz w:val="20"/>
          <w:lang w:val="en-US" w:eastAsia="zh-CN"/>
        </w:rPr>
        <w:t>形成</w:t>
      </w:r>
      <w:r>
        <w:rPr>
          <w:rFonts w:hint="eastAsia"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一体多翼</w:t>
      </w:r>
      <w:r>
        <w:rPr>
          <w:rFonts w:hint="eastAsia"/>
          <w:lang w:val="en-US" w:eastAsia="zh-CN"/>
        </w:rPr>
        <w:t>”为特征，布局合理、专业化分工、人员适度分散的软件研发格局。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年8月，总行人力资源部正式发文（扫描文件图片），在高校富集的成都，设立软件开发中心成都软件研发部，作为二级部归软件开发中心管理。继成立广州、上海、天津研发部后，成都软件研发部是软件开发中心在京外设立的又一个研发部（成都软件研发部的设立是实施“科技创新战略”的重要举措，也是适应金融科技发展新要求，优化开发中心布局的重大成果，同时也是科技体制改革的重要组成部分，对提升我行科技支撑能力有着重要意义。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都软件研发部位于高新区天府三街金融中心，下设综合管理（部）/应用管理与支持部、应用开发一部、应用开发二部、产品测试部4个处室，主要承担“三农”业务、普惠金融业务、集团综合研发和经营管理等项目的软件开发、产品测试和系统支持等职能。(表述与文件保持一致，视频素材：大楼外观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筹备工作步入正轨。</w:t>
      </w:r>
      <w:r>
        <w:rPr>
          <w:rFonts w:hint="eastAsia"/>
          <w:lang w:val="en-US" w:eastAsia="zh-CN"/>
        </w:rPr>
        <w:t>2017年11月，软件开发中心发布了《关于抽调人员参与软件开发中心成都研发部筹建工作的通知》，从中心及四川分行抽调多名经验丰富的专家，组建了成都软件研发部筹备组，各项筹备工作正式拉开序幕。（增加临时办公场地图片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人员招聘顺利进行。</w:t>
      </w:r>
      <w:r>
        <w:rPr>
          <w:rFonts w:hint="eastAsia"/>
          <w:lang w:val="en-US" w:eastAsia="zh-CN"/>
        </w:rPr>
        <w:t>汇四方英杰，筹备组先后开展了多轮校园招聘和社会招聘。线上，依靠招聘平台、公众号、微信等多种渠道广发信息，扩大影响力；线下，通过走进校园，组织宣讲会，提前锁定优秀毕业生。目前，社招9名人员全部入职就位，在总行跟班学习；约130人校园招聘人员也已整装待发。今年有望达到180人左右，3年后达到约500人左右的规模。（视频素材:宣讲会、补充招聘图片和社招人员图片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场地改造有序开展。</w:t>
      </w:r>
      <w:r>
        <w:rPr>
          <w:rFonts w:hint="eastAsia"/>
          <w:lang w:val="en-US" w:eastAsia="zh-CN"/>
        </w:rPr>
        <w:t>在借鉴总行稻香湖、天津软件研发部和四川省分行办公场地等的基础上，学习场地利用和家具设计经验，制定初步改造方案，既严格执行厉行节约的要求，充分利用已有的场地装修，又精心规划、合理布局，满足人性化办公环境的要求，</w:t>
      </w:r>
      <w:r>
        <w:rPr>
          <w:rFonts w:hint="eastAsia"/>
          <w:color w:val="auto"/>
          <w:highlight w:val="none"/>
          <w:lang w:val="en-US" w:eastAsia="zh-CN"/>
        </w:rPr>
        <w:t>为员工营造舒适、温馨的办公家园</w:t>
      </w:r>
      <w:r>
        <w:rPr>
          <w:rFonts w:hint="eastAsia"/>
          <w:lang w:val="en-US" w:eastAsia="zh-CN"/>
        </w:rPr>
        <w:t>。（拍摄现有场地视频，补充设计图纸）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制度建设同步推进。</w:t>
      </w:r>
      <w:r>
        <w:rPr>
          <w:rFonts w:hint="eastAsia" w:ascii="宋体" w:hAnsi="宋体"/>
          <w:color w:val="000000"/>
          <w:sz w:val="20"/>
          <w:lang w:eastAsia="zh-CN"/>
        </w:rPr>
        <w:t>学习总行</w:t>
      </w:r>
      <w:r>
        <w:rPr>
          <w:rFonts w:hint="eastAsia" w:ascii="宋体" w:hAnsi="宋体"/>
          <w:color w:val="000000"/>
          <w:sz w:val="20"/>
          <w:lang w:val="en-US" w:eastAsia="zh-CN"/>
        </w:rPr>
        <w:t>相关</w:t>
      </w:r>
      <w:r>
        <w:rPr>
          <w:rFonts w:hint="eastAsia" w:ascii="宋体" w:hAnsi="宋体"/>
          <w:color w:val="000000"/>
          <w:sz w:val="20"/>
          <w:lang w:eastAsia="zh-CN"/>
        </w:rPr>
        <w:t>规章制度，</w:t>
      </w:r>
      <w:r>
        <w:rPr>
          <w:rFonts w:hint="eastAsia" w:ascii="宋体" w:hAnsi="宋体"/>
          <w:color w:val="000000"/>
          <w:sz w:val="20"/>
          <w:lang w:val="en-US" w:eastAsia="zh-CN"/>
        </w:rPr>
        <w:t>初步拟定</w:t>
      </w:r>
      <w:r>
        <w:rPr>
          <w:rFonts w:hint="eastAsia" w:ascii="宋体" w:hAnsi="宋体"/>
          <w:color w:val="000000"/>
          <w:sz w:val="20"/>
          <w:lang w:eastAsia="zh-CN"/>
        </w:rPr>
        <w:t>了成都研发部的财务、人力等方面的管理制度。通过</w:t>
      </w:r>
      <w:r>
        <w:rPr>
          <w:rFonts w:hint="eastAsia" w:ascii="宋体" w:hAnsi="宋体"/>
          <w:color w:val="000000"/>
          <w:sz w:val="20"/>
        </w:rPr>
        <w:t>持续与总行相关部门沟通，</w:t>
      </w:r>
      <w:r>
        <w:rPr>
          <w:rFonts w:hint="eastAsia" w:ascii="宋体" w:hAnsi="宋体"/>
          <w:color w:val="000000"/>
          <w:sz w:val="20"/>
          <w:lang w:eastAsia="zh-CN"/>
        </w:rPr>
        <w:t>完成了场地、财务等事项的签报请示，</w:t>
      </w:r>
      <w:r>
        <w:rPr>
          <w:rFonts w:hint="eastAsia" w:ascii="宋体" w:hAnsi="宋体"/>
          <w:color w:val="000000"/>
          <w:sz w:val="20"/>
        </w:rPr>
        <w:t>财务管理预算批复流程</w:t>
      </w:r>
      <w:r>
        <w:rPr>
          <w:rFonts w:hint="eastAsia" w:ascii="宋体" w:hAnsi="宋体"/>
          <w:color w:val="000000"/>
          <w:sz w:val="20"/>
          <w:lang w:eastAsia="zh-CN"/>
        </w:rPr>
        <w:t>正有序推进。</w:t>
      </w:r>
      <w:r>
        <w:rPr>
          <w:rFonts w:hint="eastAsia"/>
          <w:lang w:val="en-US" w:eastAsia="zh-CN"/>
        </w:rPr>
        <w:t>(视频素材:签报)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第四部分 感谢语 </w:t>
      </w:r>
      <w:r>
        <w:rPr>
          <w:rFonts w:hint="default"/>
          <w:b/>
          <w:bCs/>
          <w:lang w:val="en-US" w:eastAsia="zh-CN"/>
        </w:rPr>
        <w:t>1</w:t>
      </w:r>
      <w:r>
        <w:rPr>
          <w:rFonts w:hint="eastAsia"/>
          <w:b/>
          <w:bCs/>
          <w:lang w:val="en-US" w:eastAsia="zh-CN"/>
        </w:rPr>
        <w:t>min左右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i/>
          <w:iCs/>
          <w:color w:val="FF0000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“雄关漫道真如铁”，在成都软件研发部筹建之路上，总行党委、人力资源部、财务会计部给予了大量指导，中心领导倾注</w:t>
      </w:r>
      <w:r>
        <w:rPr>
          <w:rFonts w:hint="eastAsia" w:ascii="Calibri" w:hAnsi="Calibri" w:eastAsia="宋体" w:cs="Times New Roman"/>
          <w:b w:val="0"/>
          <w:bCs w:val="0"/>
          <w:color w:val="auto"/>
          <w:sz w:val="21"/>
          <w:szCs w:val="24"/>
          <w:lang w:val="en-US" w:eastAsia="zh-CN"/>
        </w:rPr>
        <w:t>了无数心血，</w:t>
      </w:r>
      <w:r>
        <w:rPr>
          <w:rFonts w:hint="eastAsia"/>
          <w:i w:val="0"/>
          <w:iCs w:val="0"/>
          <w:color w:val="auto"/>
          <w:lang w:val="en-US" w:eastAsia="zh-CN"/>
        </w:rPr>
        <w:t>各研发分部鼎力相助。四川分行、成都客服分中心以及其他</w:t>
      </w:r>
      <w:r>
        <w:rPr>
          <w:rFonts w:hint="eastAsia" w:ascii="Calibri" w:hAnsi="Calibri" w:eastAsia="宋体" w:cs="Times New Roman"/>
          <w:b w:val="0"/>
          <w:bCs w:val="0"/>
          <w:color w:val="auto"/>
          <w:sz w:val="21"/>
          <w:szCs w:val="24"/>
          <w:lang w:eastAsia="zh-CN"/>
        </w:rPr>
        <w:t>关心成都</w:t>
      </w:r>
      <w:r>
        <w:rPr>
          <w:rFonts w:hint="eastAsia" w:ascii="Calibri" w:hAnsi="Calibri" w:eastAsia="宋体" w:cs="Times New Roman"/>
          <w:b w:val="0"/>
          <w:bCs w:val="0"/>
          <w:color w:val="auto"/>
          <w:sz w:val="21"/>
          <w:szCs w:val="24"/>
          <w:lang w:val="en-US" w:eastAsia="zh-CN"/>
        </w:rPr>
        <w:t>软件研发部筹建和发展的</w:t>
      </w:r>
      <w:r>
        <w:rPr>
          <w:rFonts w:hint="eastAsia" w:ascii="Calibri" w:hAnsi="Calibri" w:eastAsia="宋体" w:cs="Times New Roman"/>
          <w:b w:val="0"/>
          <w:bCs w:val="0"/>
          <w:color w:val="auto"/>
          <w:sz w:val="21"/>
          <w:szCs w:val="24"/>
          <w:lang w:eastAsia="zh-CN"/>
        </w:rPr>
        <w:t>各单位、</w:t>
      </w:r>
      <w:r>
        <w:rPr>
          <w:rFonts w:hint="eastAsia"/>
          <w:i w:val="0"/>
          <w:iCs w:val="0"/>
          <w:color w:val="auto"/>
          <w:lang w:val="en-US" w:eastAsia="zh-CN"/>
        </w:rPr>
        <w:t>部门给予了大力支持和无私帮助。感谢您们，成都软件研发部的筹建工作得以顺利进行，在您们的关怀和帮助下，成都软件研发部将</w:t>
      </w:r>
      <w:r>
        <w:rPr>
          <w:rFonts w:hint="eastAsia" w:ascii="Calibri" w:hAnsi="Calibri" w:eastAsia="宋体" w:cs="Times New Roman"/>
          <w:b w:val="0"/>
          <w:bCs w:val="0"/>
          <w:color w:val="auto"/>
          <w:sz w:val="21"/>
          <w:szCs w:val="24"/>
          <w:lang w:val="en-US" w:eastAsia="zh-CN"/>
        </w:rPr>
        <w:t>不忘初心，不辱使命，</w:t>
      </w:r>
      <w:r>
        <w:rPr>
          <w:rFonts w:hint="eastAsia" w:ascii="Calibri" w:hAnsi="Calibri" w:eastAsia="宋体" w:cs="Times New Roman"/>
          <w:b w:val="0"/>
          <w:bCs w:val="0"/>
          <w:color w:val="auto"/>
          <w:sz w:val="21"/>
          <w:szCs w:val="24"/>
          <w:lang w:eastAsia="zh-CN"/>
        </w:rPr>
        <w:t>在专职</w:t>
      </w:r>
      <w:r>
        <w:rPr>
          <w:rFonts w:hint="eastAsia" w:ascii="Calibri" w:hAnsi="Calibri" w:eastAsia="宋体" w:cs="Times New Roman"/>
          <w:b w:val="0"/>
          <w:bCs w:val="0"/>
          <w:color w:val="auto"/>
          <w:sz w:val="21"/>
          <w:szCs w:val="24"/>
          <w:lang w:val="en-US" w:eastAsia="zh-CN"/>
        </w:rPr>
        <w:t>领域深耕细作、砥砺创新，为建设国际一流商业银行集团做出更大的贡献！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18963"/>
    <w:multiLevelType w:val="singleLevel"/>
    <w:tmpl w:val="14718963"/>
    <w:lvl w:ilvl="0" w:tentative="0">
      <w:start w:val="2"/>
      <w:numFmt w:val="chineseCounting"/>
      <w:suff w:val="space"/>
      <w:lvlText w:val="第%1部分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B10BC"/>
    <w:rsid w:val="01A13C4A"/>
    <w:rsid w:val="01AA7D25"/>
    <w:rsid w:val="0275024B"/>
    <w:rsid w:val="02CE7E32"/>
    <w:rsid w:val="06023F80"/>
    <w:rsid w:val="07220905"/>
    <w:rsid w:val="07844510"/>
    <w:rsid w:val="088A6CAD"/>
    <w:rsid w:val="08D3133E"/>
    <w:rsid w:val="097359D8"/>
    <w:rsid w:val="0A81008C"/>
    <w:rsid w:val="0D7E51D5"/>
    <w:rsid w:val="0E1D71A6"/>
    <w:rsid w:val="0F865EC8"/>
    <w:rsid w:val="107257F6"/>
    <w:rsid w:val="11A019EA"/>
    <w:rsid w:val="122B3423"/>
    <w:rsid w:val="125B3654"/>
    <w:rsid w:val="13240ACD"/>
    <w:rsid w:val="16694FAB"/>
    <w:rsid w:val="16915EF9"/>
    <w:rsid w:val="17DE7A0D"/>
    <w:rsid w:val="18107048"/>
    <w:rsid w:val="1B943A3D"/>
    <w:rsid w:val="1E66456B"/>
    <w:rsid w:val="201E7152"/>
    <w:rsid w:val="20C83F24"/>
    <w:rsid w:val="21C64A9D"/>
    <w:rsid w:val="22886737"/>
    <w:rsid w:val="28675D76"/>
    <w:rsid w:val="2ABE3631"/>
    <w:rsid w:val="2BE26A8A"/>
    <w:rsid w:val="2D3D7286"/>
    <w:rsid w:val="2D8E43E0"/>
    <w:rsid w:val="2E911192"/>
    <w:rsid w:val="30674AD6"/>
    <w:rsid w:val="34F80E9D"/>
    <w:rsid w:val="35CF16E7"/>
    <w:rsid w:val="36F73690"/>
    <w:rsid w:val="39C00809"/>
    <w:rsid w:val="3BC11D7C"/>
    <w:rsid w:val="3C3D61A2"/>
    <w:rsid w:val="3CD2542A"/>
    <w:rsid w:val="3E727F95"/>
    <w:rsid w:val="3F1F6D3C"/>
    <w:rsid w:val="400A2E32"/>
    <w:rsid w:val="40542D53"/>
    <w:rsid w:val="40746181"/>
    <w:rsid w:val="40FA571F"/>
    <w:rsid w:val="45F234DF"/>
    <w:rsid w:val="470B3EC7"/>
    <w:rsid w:val="49CE79E8"/>
    <w:rsid w:val="4B430CBD"/>
    <w:rsid w:val="4B5C67B8"/>
    <w:rsid w:val="4C284F4E"/>
    <w:rsid w:val="4D1D2615"/>
    <w:rsid w:val="4DCF6CE2"/>
    <w:rsid w:val="50CA2FF2"/>
    <w:rsid w:val="528C7F45"/>
    <w:rsid w:val="534718CC"/>
    <w:rsid w:val="53DC7110"/>
    <w:rsid w:val="547C3028"/>
    <w:rsid w:val="54850005"/>
    <w:rsid w:val="56AC4CC5"/>
    <w:rsid w:val="579B4069"/>
    <w:rsid w:val="57CE13C0"/>
    <w:rsid w:val="581C12CD"/>
    <w:rsid w:val="58C20C87"/>
    <w:rsid w:val="58C22429"/>
    <w:rsid w:val="5ABB3189"/>
    <w:rsid w:val="5B41280D"/>
    <w:rsid w:val="5E3714AC"/>
    <w:rsid w:val="5EA05F6C"/>
    <w:rsid w:val="5EDA6DAA"/>
    <w:rsid w:val="626D5614"/>
    <w:rsid w:val="63301A9B"/>
    <w:rsid w:val="65125FF7"/>
    <w:rsid w:val="656A57FB"/>
    <w:rsid w:val="666F1DBD"/>
    <w:rsid w:val="66BF08FC"/>
    <w:rsid w:val="67430438"/>
    <w:rsid w:val="68670A14"/>
    <w:rsid w:val="6A903299"/>
    <w:rsid w:val="6D716D61"/>
    <w:rsid w:val="6F4057A0"/>
    <w:rsid w:val="70C51A17"/>
    <w:rsid w:val="71B92F8F"/>
    <w:rsid w:val="75D9590A"/>
    <w:rsid w:val="77700AAA"/>
    <w:rsid w:val="779E24F8"/>
    <w:rsid w:val="7AD92480"/>
    <w:rsid w:val="7B2256B1"/>
    <w:rsid w:val="7BA44A91"/>
    <w:rsid w:val="7C67787F"/>
    <w:rsid w:val="7D37686D"/>
    <w:rsid w:val="7DC73EDA"/>
    <w:rsid w:val="7F1470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iPriority w:val="0"/>
    <w:rPr>
      <w:rFonts w:ascii="Calibri" w:hAnsi="Calibri" w:eastAsia="宋体" w:cs="Times New Roman"/>
    </w:rPr>
  </w:style>
  <w:style w:type="table" w:default="1" w:styleId="4">
    <w:name w:val="Normal Table"/>
    <w:uiPriority w:val="0"/>
    <w:rPr>
      <w:rFonts w:ascii="Calibri" w:hAnsi="Calibri" w:eastAsia="宋体" w:cs="Times New Roman"/>
    </w:rPr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ABC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2018-06-15T02:44:00Z</dcterms:created>
  <dc:creator>田石刚/上研应用支持二部/软件开发中心/总行机关/ABC</dc:creator>
  <cp:lastModifiedBy>李华春</cp:lastModifiedBy>
  <dcterms:modified xsi:type="dcterms:W3CDTF">2018-07-05T02:37:17Z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