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Bridging the Skills Gap in ICT Workforce: A Cross-Country Analysis</w:t>
      </w:r>
    </w:p>
    <w:p w:rsidR="00000000" w:rsidDel="00000000" w:rsidP="00000000" w:rsidRDefault="00000000" w:rsidRPr="00000000" w14:paraId="0000000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information and communication technology has proved to be a cornerstone for economic and organizational growth. But even this sector is threatened by a persistent challenge: a skills gap in the ICT workforce. By examining studies and reports from Malaysia, Australia, and India, this paper analyzes the causes, consequences, and solutions to this gap, emphasizing employability, curriculum alignment, and collaborative strategies.</w:t>
      </w:r>
    </w:p>
    <w:p w:rsidR="00000000" w:rsidDel="00000000" w:rsidP="00000000" w:rsidRDefault="00000000" w:rsidRPr="00000000" w14:paraId="00000003">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kcei3lpzt5r9" w:id="0"/>
      <w:bookmarkEnd w:id="0"/>
      <w:r w:rsidDel="00000000" w:rsidR="00000000" w:rsidRPr="00000000">
        <w:rPr>
          <w:rFonts w:ascii="Times New Roman" w:cs="Times New Roman" w:eastAsia="Times New Roman" w:hAnsi="Times New Roman"/>
          <w:b w:val="1"/>
          <w:color w:val="000000"/>
          <w:sz w:val="24"/>
          <w:szCs w:val="24"/>
          <w:rtl w:val="0"/>
        </w:rPr>
        <w:t xml:space="preserve">The State of ICT Workforce Employability</w:t>
      </w:r>
    </w:p>
    <w:p w:rsidR="00000000" w:rsidDel="00000000" w:rsidP="00000000" w:rsidRDefault="00000000" w:rsidRPr="00000000" w14:paraId="0000000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its counterparts in Australia and India, Malaysia has a critical demand-supply imbalance in the supply of ICT professionals. The annual ICT graduates continue to eliminate the demand for ICT professionals, but a large segment is unemployable as they lack requisite technical, soft, and business-relevant skills. This is demonstrated by the Multimedia Super Corridor (MSC) study, which projects that Malaysia will require more than 45,000 software developers and network security specialists by 2012, a shortage far in excess of the supply.</w:t>
      </w:r>
    </w:p>
    <w:p w:rsidR="00000000" w:rsidDel="00000000" w:rsidP="00000000" w:rsidRDefault="00000000" w:rsidRPr="00000000" w14:paraId="0000000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in Australia, the ICT sector grew, with job vacancies tripling in the last decade. But local institutions aren't able to generate a workforce in proportion to the demand created by this growth, putting at risk the country’s competitive advantage in knowledge industries. Despite producing over 500,000 technical graduates annually, the ICT industry in India deems only 25% of these in employable positions.</w:t>
      </w:r>
    </w:p>
    <w:p w:rsidR="00000000" w:rsidDel="00000000" w:rsidP="00000000" w:rsidRDefault="00000000" w:rsidRPr="00000000" w14:paraId="00000006">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t7fvzuxhia3l" w:id="1"/>
      <w:bookmarkEnd w:id="1"/>
      <w:r w:rsidDel="00000000" w:rsidR="00000000" w:rsidRPr="00000000">
        <w:rPr>
          <w:rFonts w:ascii="Times New Roman" w:cs="Times New Roman" w:eastAsia="Times New Roman" w:hAnsi="Times New Roman"/>
          <w:b w:val="1"/>
          <w:color w:val="000000"/>
          <w:sz w:val="24"/>
          <w:szCs w:val="24"/>
          <w:rtl w:val="0"/>
        </w:rPr>
        <w:t xml:space="preserve">Identifying Causes of the Skills Gap</w:t>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Key factors contributing to the ICT skills gap include:</w:t>
      </w:r>
    </w:p>
    <w:p w:rsidR="00000000" w:rsidDel="00000000" w:rsidP="00000000" w:rsidRDefault="00000000" w:rsidRPr="00000000" w14:paraId="00000008">
      <w:pPr>
        <w:numPr>
          <w:ilvl w:val="0"/>
          <w:numId w:val="1"/>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Misalignment Between Industry Needs and Academic Curriculum:</w:t>
      </w:r>
      <w:r w:rsidDel="00000000" w:rsidR="00000000" w:rsidRPr="00000000">
        <w:rPr>
          <w:rFonts w:ascii="Times New Roman" w:cs="Times New Roman" w:eastAsia="Times New Roman" w:hAnsi="Times New Roman"/>
          <w:sz w:val="24"/>
          <w:szCs w:val="24"/>
          <w:rtl w:val="0"/>
        </w:rPr>
        <w:t xml:space="preserve"> However, academic institutions tend to focus more on theoretical knowledge, and industries demand that these skills are practical and related to the market. For instance, technical core subjects are taught extensively, but there is little coverage of putting business and interpersonal skills together.</w:t>
      </w:r>
    </w:p>
    <w:p w:rsidR="00000000" w:rsidDel="00000000" w:rsidP="00000000" w:rsidRDefault="00000000" w:rsidRPr="00000000" w14:paraId="00000009">
      <w:pPr>
        <w:numPr>
          <w:ilvl w:val="0"/>
          <w:numId w:val="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Inadequate Internship and Practical Exposure:</w:t>
      </w:r>
      <w:r w:rsidDel="00000000" w:rsidR="00000000" w:rsidRPr="00000000">
        <w:rPr>
          <w:rFonts w:ascii="Times New Roman" w:cs="Times New Roman" w:eastAsia="Times New Roman" w:hAnsi="Times New Roman"/>
          <w:sz w:val="24"/>
          <w:szCs w:val="24"/>
          <w:rtl w:val="0"/>
        </w:rPr>
        <w:t xml:space="preserve"> Both faculty and industry surveys indicate that interpersonal skills are highly valued by both groups, but IT managers place higher emphasis on practical experience and other technical competencies such as hardware concepts and packaged software, which are often underemphasized by most academic programs.</w:t>
      </w:r>
    </w:p>
    <w:p w:rsidR="00000000" w:rsidDel="00000000" w:rsidP="00000000" w:rsidRDefault="00000000" w:rsidRPr="00000000" w14:paraId="0000000A">
      <w:pPr>
        <w:numPr>
          <w:ilvl w:val="0"/>
          <w:numId w:val="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Lack of Public-Private Partnerships: </w:t>
      </w:r>
      <w:r w:rsidDel="00000000" w:rsidR="00000000" w:rsidRPr="00000000">
        <w:rPr>
          <w:rFonts w:ascii="Times New Roman" w:cs="Times New Roman" w:eastAsia="Times New Roman" w:hAnsi="Times New Roman"/>
          <w:sz w:val="24"/>
          <w:szCs w:val="24"/>
          <w:rtl w:val="0"/>
        </w:rPr>
        <w:t xml:space="preserve">Unlike India, India has greater mechanisms for flexibility for universities and corporations to collaborate and readjust curricula to market demands, in contrast to Malaysia, where there is less such adaptation to take place.</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Bridging the Gap through Strategies</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these challenges, several strategies have been proposed and partially implemented:</w:t>
      </w:r>
    </w:p>
    <w:p w:rsidR="00000000" w:rsidDel="00000000" w:rsidP="00000000" w:rsidRDefault="00000000" w:rsidRPr="00000000" w14:paraId="0000000D">
      <w:pPr>
        <w:numPr>
          <w:ilvl w:val="0"/>
          <w:numId w:val="2"/>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Curriculum Reforms:</w:t>
      </w:r>
      <w:r w:rsidDel="00000000" w:rsidR="00000000" w:rsidRPr="00000000">
        <w:rPr>
          <w:rFonts w:ascii="Times New Roman" w:cs="Times New Roman" w:eastAsia="Times New Roman" w:hAnsi="Times New Roman"/>
          <w:sz w:val="24"/>
          <w:szCs w:val="24"/>
          <w:rtl w:val="0"/>
        </w:rPr>
        <w:t xml:space="preserve"> Technical and business skills need to be combined within academia. Positive steps, such as Malaysia’s collaboration with Cisco to uplift ICT literacy, are being taken to make academic outputs aligned with industry requirements. Global studies recommend that IT curricula include project management, industry-specific knowledge, and entrepreneurial skills, recommendations that also recommend financial awareness.</w:t>
      </w:r>
    </w:p>
    <w:p w:rsidR="00000000" w:rsidDel="00000000" w:rsidP="00000000" w:rsidRDefault="00000000" w:rsidRPr="00000000" w14:paraId="0000000E">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Enhancing Practical Training: </w:t>
      </w:r>
      <w:r w:rsidDel="00000000" w:rsidR="00000000" w:rsidRPr="00000000">
        <w:rPr>
          <w:rFonts w:ascii="Times New Roman" w:cs="Times New Roman" w:eastAsia="Times New Roman" w:hAnsi="Times New Roman"/>
          <w:sz w:val="24"/>
          <w:szCs w:val="24"/>
          <w:rtl w:val="0"/>
        </w:rPr>
        <w:t xml:space="preserve">Providing students with hands-on experience that employers value can come in the form of increased emphasis on internships, cooperative education (co-op) programs, and industry-sponsored projects. Malaysia’s Undergraduate Apprenticeship Program, for example, aims to develop better employability through practical training in real life.</w:t>
      </w:r>
    </w:p>
    <w:p w:rsidR="00000000" w:rsidDel="00000000" w:rsidP="00000000" w:rsidRDefault="00000000" w:rsidRPr="00000000" w14:paraId="0000000F">
      <w:pPr>
        <w:numPr>
          <w:ilvl w:val="0"/>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Industry-Academia Collaboration:</w:t>
      </w:r>
      <w:r w:rsidDel="00000000" w:rsidR="00000000" w:rsidRPr="00000000">
        <w:rPr>
          <w:rFonts w:ascii="Times New Roman" w:cs="Times New Roman" w:eastAsia="Times New Roman" w:hAnsi="Times New Roman"/>
          <w:sz w:val="24"/>
          <w:szCs w:val="24"/>
          <w:rtl w:val="0"/>
        </w:rPr>
        <w:t xml:space="preserve"> Partnerships between governments and institutions can be encouraged to develop industry-driven curricula and undertake joint research. A model that India followed and that is worth emulating is India’s approach: partnering with over 20 universities to create benchmarks for ICT skills.</w:t>
      </w:r>
    </w:p>
    <w:p w:rsidR="00000000" w:rsidDel="00000000" w:rsidP="00000000" w:rsidRDefault="00000000" w:rsidRPr="00000000" w14:paraId="00000010">
      <w:pPr>
        <w:numPr>
          <w:ilvl w:val="0"/>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Continuous Professional Development:</w:t>
      </w:r>
      <w:r w:rsidDel="00000000" w:rsidR="00000000" w:rsidRPr="00000000">
        <w:rPr>
          <w:rFonts w:ascii="Times New Roman" w:cs="Times New Roman" w:eastAsia="Times New Roman" w:hAnsi="Times New Roman"/>
          <w:sz w:val="24"/>
          <w:szCs w:val="24"/>
          <w:rtl w:val="0"/>
        </w:rPr>
        <w:t xml:space="preserve"> Certification programs and online courses facilitate continuous professional learning, staying abreast of technological trends in a lifelong learning space.</w:t>
      </w:r>
    </w:p>
    <w:p w:rsidR="00000000" w:rsidDel="00000000" w:rsidP="00000000" w:rsidRDefault="00000000" w:rsidRPr="00000000" w14:paraId="00000011">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qmqy4xe009z5" w:id="2"/>
      <w:bookmarkEnd w:id="2"/>
      <w:r w:rsidDel="00000000" w:rsidR="00000000" w:rsidRPr="00000000">
        <w:rPr>
          <w:rFonts w:ascii="Times New Roman" w:cs="Times New Roman" w:eastAsia="Times New Roman" w:hAnsi="Times New Roman"/>
          <w:b w:val="1"/>
          <w:color w:val="000000"/>
          <w:sz w:val="24"/>
          <w:szCs w:val="24"/>
          <w:rtl w:val="0"/>
        </w:rPr>
        <w:t xml:space="preserve">Implications for the Future</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ICT skills gap closure requires a multi-stakeholder approach. Curricula have to adapt to set universities in a position to produce graduates with both technical and soft skills. At the same time, governments and industries must make the enabling environment that policy reforms and the necessary funding and partnerships create. Other countries, such as Malaysia, can search the way India has helped in industry-academia interaction, and Australia has always preached a focus on research-oriented learning.</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ICT workforce skills gap isn’t just an education problem but also an economic and socioeconomic imperative. Nations can address employability by aligning educational outputs to industry needs as well as help sustain growth in a technology-driven world by promoting collaborations.</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