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3953" w14:textId="77777777" w:rsidR="009A1327" w:rsidRDefault="00000000" w:rsidP="005370FF">
      <w:pPr>
        <w:bidi/>
        <w:spacing w:after="80"/>
      </w:pPr>
      <w:r>
        <w:rPr>
          <w:rFonts w:ascii="Arial" w:eastAsia="Arial" w:hAnsi="Arial" w:cs="Arial"/>
          <w:b/>
          <w:color w:val="113B5F"/>
          <w:sz w:val="42"/>
        </w:rPr>
        <w:t>الأدب في صدر الإسلام وعصر الخلافة الراشدة</w:t>
      </w:r>
    </w:p>
    <w:p w14:paraId="79E8D3FA" w14:textId="77777777" w:rsidR="009A1327" w:rsidRDefault="00000000" w:rsidP="005370FF">
      <w:pPr>
        <w:bidi/>
      </w:pPr>
      <w:r>
        <w:rPr>
          <w:rFonts w:ascii="Arial" w:eastAsia="Arial" w:hAnsi="Arial" w:cs="Arial"/>
          <w:color w:val="A0A0A0"/>
        </w:rPr>
        <w:t>────────────────────────────────────────────</w:t>
      </w:r>
    </w:p>
    <w:p w14:paraId="74191D0C" w14:textId="77777777" w:rsidR="009A1327" w:rsidRDefault="00000000" w:rsidP="005370FF">
      <w:pPr>
        <w:bidi/>
        <w:spacing w:before="200" w:after="80"/>
      </w:pPr>
      <w:r>
        <w:rPr>
          <w:rFonts w:ascii="Arial" w:eastAsia="Arial" w:hAnsi="Arial" w:cs="Arial"/>
          <w:b/>
          <w:color w:val="1B5E20"/>
          <w:sz w:val="28"/>
        </w:rPr>
        <w:t>ملاحظة منهجية</w:t>
      </w:r>
    </w:p>
    <w:p w14:paraId="027C3FB0" w14:textId="77777777" w:rsidR="009A1327" w:rsidRDefault="00000000" w:rsidP="005370FF">
      <w:pPr>
        <w:bidi/>
        <w:spacing w:after="120" w:line="300" w:lineRule="auto"/>
        <w:ind w:firstLine="340"/>
      </w:pPr>
      <w:r>
        <w:rPr>
          <w:rFonts w:ascii="Arial" w:eastAsia="Arial" w:hAnsi="Arial" w:cs="Arial"/>
          <w:sz w:val="25"/>
        </w:rPr>
        <w:t>هذا الملف مبني حصراً على مداخل Britannica ذات الصلة بالأدب العربي وبدايات الأدب الإسلامي. وقد جرى تلخيص المادة وشرحها بالعربية من دون إدخال معلومات من خارج Britannica. كما ينبغي الانتباه إلى أن Britannica تتعامل مع هذه المرحلة بوصفها مرحلة تأسيس كبرى للأدب الإسلامي، حيث تغيّر فيها موقع الشعر، وارتفعت منزلة القرآن، وظهرت أجناس نثرية سيكون لها أثر طويل في جميع العصور اللاحقة.</w:t>
      </w:r>
    </w:p>
    <w:p w14:paraId="73A3ECD2" w14:textId="77777777" w:rsidR="009A1327" w:rsidRDefault="00000000" w:rsidP="005370FF">
      <w:pPr>
        <w:bidi/>
        <w:spacing w:before="200" w:after="80"/>
      </w:pPr>
      <w:r>
        <w:rPr>
          <w:rFonts w:ascii="Arial" w:eastAsia="Arial" w:hAnsi="Arial" w:cs="Arial"/>
          <w:b/>
          <w:color w:val="1B5E20"/>
          <w:sz w:val="28"/>
        </w:rPr>
        <w:t>أولاً: التحول الجذري الذي أحدثه الإسلام في فكرة الأدب</w:t>
      </w:r>
    </w:p>
    <w:p w14:paraId="72C122BC" w14:textId="77777777" w:rsidR="009A1327" w:rsidRDefault="00000000" w:rsidP="005370FF">
      <w:pPr>
        <w:bidi/>
        <w:spacing w:after="120" w:line="300" w:lineRule="auto"/>
        <w:ind w:firstLine="340"/>
      </w:pPr>
      <w:r>
        <w:rPr>
          <w:rFonts w:ascii="Arial" w:eastAsia="Arial" w:hAnsi="Arial" w:cs="Arial"/>
          <w:sz w:val="25"/>
        </w:rPr>
        <w:t>توضح Britannica أن العرب قبل الإسلام كانوا ينظرون إلى الشعر على أنه الذروة العليا للفصاحة والتمثيل القبلي، فلما جاء الإسلام تغيّر هذا الميزان. فالقرآن صار في الوعي الإسلامي أعلى تجلٍّ للجمال اللغوي والبيان، وأصبح المرجع الذي تُقاس إليه سائر أشكال التعبير. ومن هنا لم يعد الشعر وحده مركز الثقل الثقافي كما كان في الجاهلية، بل دخل في علاقة جديدة مع الوحي والوعظ واللغة والفقه والحديث. وتؤكد Britannica أن المسلمين الأوائل، مع استمرار إعجابهم بالقوة البيانية، أصبحوا يتحفظون من الشعر أحيانًا لأنه ارتبط في ذاكرتهم بميراث جاهلي تجاوزه الإسلام. ولهذا السبب لم يظهر منذ البداية شعر ديني جديد ضخم يوازي ضخامة الحدث الإسلامي نفسه، بل ظلت النماذج الشعرية الأولى أقرب في هيئتها إلى ما قبل الإسلام، مع تحويل وجهة المدح أحيانًا من الزعيم القبلي إلى النبي.</w:t>
      </w:r>
    </w:p>
    <w:p w14:paraId="765E6D2C" w14:textId="77777777" w:rsidR="009A1327" w:rsidRDefault="00000000" w:rsidP="005370FF">
      <w:pPr>
        <w:bidi/>
        <w:spacing w:before="200" w:after="80"/>
      </w:pPr>
      <w:r>
        <w:rPr>
          <w:rFonts w:ascii="Arial" w:eastAsia="Arial" w:hAnsi="Arial" w:cs="Arial"/>
          <w:b/>
          <w:color w:val="1B5E20"/>
          <w:sz w:val="28"/>
        </w:rPr>
        <w:t>ثانيًا: القرآن بوصفه المركز الجمالي الأعلى</w:t>
      </w:r>
    </w:p>
    <w:p w14:paraId="1F8F19F6" w14:textId="77777777" w:rsidR="009A1327" w:rsidRDefault="00000000" w:rsidP="005370FF">
      <w:pPr>
        <w:bidi/>
        <w:spacing w:after="120" w:line="300" w:lineRule="auto"/>
        <w:ind w:firstLine="340"/>
      </w:pPr>
      <w:r>
        <w:rPr>
          <w:rFonts w:ascii="Arial" w:eastAsia="Arial" w:hAnsi="Arial" w:cs="Arial"/>
          <w:sz w:val="25"/>
        </w:rPr>
        <w:t>في تصوير Britannica، لا يمكن فهم الأدب الإسلامي المبكر من دون وضع القرآن في المركز. فهو ليس مجرد نص ديني، بل النص الذي أُعطي منزلة الجمال الأعلى والبيان المعجز. ومن هذا الموقع نشأت لاحقًا تقاليد واسعة في الدفاع عن إعجاز القرآن وتفرّده، كما أسهم هذا الموقع في تثبيت العربية الفصحى المكتوبة بوصفها وعاءً معياريًا للثقافة. ويعني ذلك أن الأدب في صدر الإسلام لم يتكوّن فقط من الشعر، بل من شبكة كاملة من العلوم والخطابات التي دارت حول القرآن: التفسير، والوعظ، واللغة، وضبط الرواية، والجدل، ثم لاحقًا البلاغة والنقد.</w:t>
      </w:r>
    </w:p>
    <w:p w14:paraId="4FE3B846" w14:textId="77777777" w:rsidR="009A1327" w:rsidRDefault="00000000" w:rsidP="005370FF">
      <w:pPr>
        <w:bidi/>
        <w:spacing w:before="200" w:after="80"/>
      </w:pPr>
      <w:r>
        <w:rPr>
          <w:rFonts w:ascii="Arial" w:eastAsia="Arial" w:hAnsi="Arial" w:cs="Arial"/>
          <w:b/>
          <w:color w:val="1B5E20"/>
          <w:sz w:val="28"/>
        </w:rPr>
        <w:t>ثالثًا: لماذا لم يظهر شعر ديني ضخم فورًا؟</w:t>
      </w:r>
    </w:p>
    <w:p w14:paraId="6E214153" w14:textId="77777777" w:rsidR="009A1327" w:rsidRDefault="00000000" w:rsidP="005370FF">
      <w:pPr>
        <w:bidi/>
        <w:spacing w:after="120" w:line="300" w:lineRule="auto"/>
        <w:ind w:firstLine="340"/>
      </w:pPr>
      <w:r>
        <w:rPr>
          <w:rFonts w:ascii="Arial" w:eastAsia="Arial" w:hAnsi="Arial" w:cs="Arial"/>
          <w:sz w:val="25"/>
        </w:rPr>
        <w:t>تشير Britannica إلى أن المتوقع نظريًا أن يولّد ظهور دين جديد أدبًا شعريًا حماسيًا يمجّد ميلاده وانتصاراته، لكن ما حدث كان مختلفًا. فلا يوجد في بدايات الإسلام، بحسب وصفها، شاعر كبير فجرته الولادة السريعة للإسلام كما قد يتوقع المرء. والسبب أن الشعراء الأوائل ظلوا أوفياء بدرجة كبيرة للأشكال التقليدية القديمة. ولهذا تذكر Britannica أن قصيدة كعب بن زهير الشهيرة تختلف عن القصيدة الجاهلية أساسًا في خاتمتها التي تنتهي بمدح النبي وطلب الصفح، أما البناء والأسلوب العامان فيظلان قريبين من الإرث السابق. وتذكر أيضًا أن حسان بن ثابت، على الرغم من مكانته المعروفة في السيرة الإسلامية، بقي يكرر الأنماط التقليدية الموروثة.</w:t>
      </w:r>
    </w:p>
    <w:p w14:paraId="0CD3FC93" w14:textId="77777777" w:rsidR="009A1327" w:rsidRDefault="00000000" w:rsidP="005370FF">
      <w:pPr>
        <w:bidi/>
        <w:spacing w:before="200" w:after="80"/>
      </w:pPr>
      <w:r>
        <w:rPr>
          <w:rFonts w:ascii="Arial" w:eastAsia="Arial" w:hAnsi="Arial" w:cs="Arial"/>
          <w:b/>
          <w:color w:val="1B5E20"/>
          <w:sz w:val="28"/>
        </w:rPr>
        <w:t>رابعًا: الخُطبة والقصّاص وبدايات النثر الديني الشعبي</w:t>
      </w:r>
    </w:p>
    <w:p w14:paraId="3B8D4AC6" w14:textId="77777777" w:rsidR="009A1327" w:rsidRDefault="00000000" w:rsidP="005370FF">
      <w:pPr>
        <w:bidi/>
        <w:spacing w:after="120" w:line="300" w:lineRule="auto"/>
        <w:ind w:firstLine="340"/>
      </w:pPr>
      <w:r>
        <w:rPr>
          <w:rFonts w:ascii="Arial" w:eastAsia="Arial" w:hAnsi="Arial" w:cs="Arial"/>
          <w:sz w:val="25"/>
        </w:rPr>
        <w:t xml:space="preserve">من أهم النقاط التي تؤكدها Britannica أن النثر في هذه المرحلة لم يكن أقل شأنًا من الشعر، بل لعله كان أكثر دلالة على التحول الحضاري. فخطب الجمعة التي كان يلقيها الولاة مثّلت شكلاً نثريًا ذا مكانة عامة، لكنها كانت تمزج الديني بالسياسي، وكانت الاعتبارات السياسية كثيرًا ما تطغى فيها على الجانب الأدبي الخالص. كما ظهر القصّاص، وهم الوعاظ والرواة الذين كانوا يفسرون آيات القرآن لعامة الناس في المجالس، وتعدّهم Britannica في حكم مؤسسي النثر الديني </w:t>
      </w:r>
      <w:r>
        <w:rPr>
          <w:rFonts w:ascii="Arial" w:eastAsia="Arial" w:hAnsi="Arial" w:cs="Arial"/>
          <w:sz w:val="25"/>
        </w:rPr>
        <w:lastRenderedPageBreak/>
        <w:t>الشعبي. غير أنها تشير في الوقت نفسه إلى أن تفسيراتهم كانت خصبة الخيال إلى حد بعيد، ولم تكن دائمًا منسجمة مع صرامة علماء اللاهوت.</w:t>
      </w:r>
    </w:p>
    <w:p w14:paraId="367A70B0" w14:textId="77777777" w:rsidR="009A1327" w:rsidRDefault="00000000" w:rsidP="005370FF">
      <w:pPr>
        <w:bidi/>
        <w:spacing w:before="200" w:after="80"/>
      </w:pPr>
      <w:r>
        <w:rPr>
          <w:rFonts w:ascii="Arial" w:eastAsia="Arial" w:hAnsi="Arial" w:cs="Arial"/>
          <w:b/>
          <w:color w:val="1B5E20"/>
          <w:sz w:val="28"/>
        </w:rPr>
        <w:t>خامسًا: أقوال علي ونهج البلاغة</w:t>
      </w:r>
    </w:p>
    <w:p w14:paraId="1241D2DA" w14:textId="77777777" w:rsidR="009A1327" w:rsidRDefault="00000000" w:rsidP="005370FF">
      <w:pPr>
        <w:bidi/>
        <w:spacing w:after="120" w:line="300" w:lineRule="auto"/>
        <w:ind w:firstLine="340"/>
      </w:pPr>
      <w:r>
        <w:rPr>
          <w:rFonts w:ascii="Arial" w:eastAsia="Arial" w:hAnsi="Arial" w:cs="Arial"/>
          <w:sz w:val="25"/>
        </w:rPr>
        <w:t>تلفت Britannica إلى أن الرغبة في حفظ كلمات الحكمة تجلت بصورة بارزة في الأقوال المنسوبة إلى علي بن أبي طالب. ورغم أن تدوين هذه الأقوال جاء لاحقًا، فإنها عُرفت في ما بعد في كتاب نهج البلاغة بوصفها نموذجًا بالغ القوة للإيجاز والجزالة والسبك الرفيع. وتصف Britannica هذا الكتاب بأنه من روائع النثر العربي، وأنه ألهم شروحًا ومحاكاة شعرية ونثرية في لغات متعددة من العالم الإسلامي. وأهمية هذه الإشارة أن الأدب في صدر الإسلام لا يقتصر على النصوص المنظومة، بل يشمل أيضًا الحكمة والخطابة والنثر الأخلاقي والسياسي والروحي.</w:t>
      </w:r>
    </w:p>
    <w:p w14:paraId="0242B08B" w14:textId="77777777" w:rsidR="009A1327" w:rsidRDefault="00000000" w:rsidP="005370FF">
      <w:pPr>
        <w:bidi/>
        <w:spacing w:before="200" w:after="80"/>
      </w:pPr>
      <w:r>
        <w:rPr>
          <w:rFonts w:ascii="Arial" w:eastAsia="Arial" w:hAnsi="Arial" w:cs="Arial"/>
          <w:b/>
          <w:color w:val="1B5E20"/>
          <w:sz w:val="28"/>
        </w:rPr>
        <w:t>سادسًا: الحديث والسيرة والمغازي بوصفها أجناسًا مؤسسة</w:t>
      </w:r>
    </w:p>
    <w:p w14:paraId="537B7293" w14:textId="77777777" w:rsidR="009A1327" w:rsidRDefault="00000000" w:rsidP="005370FF">
      <w:pPr>
        <w:bidi/>
        <w:spacing w:after="120" w:line="300" w:lineRule="auto"/>
        <w:ind w:firstLine="340"/>
      </w:pPr>
      <w:r>
        <w:rPr>
          <w:rFonts w:ascii="Arial" w:eastAsia="Arial" w:hAnsi="Arial" w:cs="Arial"/>
          <w:sz w:val="25"/>
        </w:rPr>
        <w:t>توضح Britannica أن النثر في العصر الأموي وما يجاوره ظل مقصورًا بدرجة كبيرة على الكتابة الدينية، وأن أحاديث النبي بدأت تُجمع ثم تُمحّص حتى حُفظت الروايات التي عُدت موثوقة في مجموعات كبرى. ومن هنا تشكّل تقليد الإسناد والمتن، وهو تقليد ذو أثر عميق في أساليب التوثيق والسرد والتصنيف. كما أن السيرة والمغازي لم تكونا مجرد وعاءين تاريخيين، بل شكّلتا معًا أحد أهم أصول الحكاية الإسلامية المبكرة، إذ جمعتا بين الخبر، والسرد، والبطولة، والتعليم، وربط التاريخ الديني بالأحداث البشرية.</w:t>
      </w:r>
    </w:p>
    <w:p w14:paraId="41E76671" w14:textId="77777777" w:rsidR="009A1327" w:rsidRDefault="00000000" w:rsidP="005370FF">
      <w:pPr>
        <w:bidi/>
        <w:spacing w:before="200" w:after="80"/>
      </w:pPr>
      <w:r>
        <w:rPr>
          <w:rFonts w:ascii="Arial" w:eastAsia="Arial" w:hAnsi="Arial" w:cs="Arial"/>
          <w:b/>
          <w:color w:val="1B5E20"/>
          <w:sz w:val="28"/>
        </w:rPr>
        <w:t>سابعًا: السمات الأدبية العامة لمرحلة صدر الإسلام</w:t>
      </w:r>
    </w:p>
    <w:p w14:paraId="6551E340" w14:textId="77777777" w:rsidR="009A1327" w:rsidRDefault="00000000" w:rsidP="005370FF">
      <w:pPr>
        <w:bidi/>
        <w:spacing w:after="120" w:line="300" w:lineRule="auto"/>
        <w:ind w:firstLine="340"/>
      </w:pPr>
      <w:r>
        <w:rPr>
          <w:rFonts w:ascii="Arial" w:eastAsia="Arial" w:hAnsi="Arial" w:cs="Arial"/>
          <w:sz w:val="25"/>
        </w:rPr>
        <w:t>يمكن تلخيص السمات الكبرى لهذه المرحلة في ضوء Britannica في عدة نقاط مترابطة: أولها انتقال مركز الشرعية الجمالية من القصيدة إلى القرآن. وثانيها بقاء الأشكال الشعرية القديمة حيّة، مع تعديل موضوعاتها لا بنيتها الأساسية في البداية. وثالثها صعود النثر بوصفه وسيلة للتعليم والوعظ والحكم وتثبيت الرواية. ورابعها أن الأدب لم يعد شأنًا قبليًا صرفًا، بل صار مرتبطًا بجماعة دينية تتوسع سياسيًا واجتماعيًا بسرعة كبيرة. ولهذا فصدر الإسلام في Britannica هو عصر إعادة تأسيس للمعايير، لا عصر انقطاع أدبي.</w:t>
      </w:r>
    </w:p>
    <w:p w14:paraId="1188052A" w14:textId="77777777" w:rsidR="009A1327" w:rsidRDefault="00000000" w:rsidP="005370FF">
      <w:pPr>
        <w:bidi/>
        <w:spacing w:before="200" w:after="80"/>
      </w:pPr>
      <w:r>
        <w:rPr>
          <w:rFonts w:ascii="Arial" w:eastAsia="Arial" w:hAnsi="Arial" w:cs="Arial"/>
          <w:b/>
          <w:color w:val="1B5E20"/>
          <w:sz w:val="28"/>
        </w:rPr>
        <w:t>ثامنًا: الخلاصة</w:t>
      </w:r>
    </w:p>
    <w:p w14:paraId="2A3AD9DA" w14:textId="77777777" w:rsidR="009A1327" w:rsidRDefault="00000000" w:rsidP="005370FF">
      <w:pPr>
        <w:bidi/>
        <w:spacing w:after="120" w:line="300" w:lineRule="auto"/>
        <w:ind w:firstLine="340"/>
      </w:pPr>
      <w:r>
        <w:rPr>
          <w:rFonts w:ascii="Arial" w:eastAsia="Arial" w:hAnsi="Arial" w:cs="Arial"/>
          <w:sz w:val="25"/>
        </w:rPr>
        <w:t>صدر الإسلام في Britannica هو مرحلة التحول الأكبر في تاريخ الأدب العربي الإسلامي. ففيه أُعيد تعريف الجمال اللغوي على ضوء الوحي، وتبدّل موقع الشاعر، وتقدّم النثر الديني والوعظي والحِكَمي، وتكوّنت البذور الأولى للأجناس التي ستزدهر لاحقًا في العصور الأموية والعباسية وما بعدها. ولهذا لا ينبغي النظر إلى هذه المرحلة بوصفها فقيرة أدبيًا، بل بوصفها المرحلة التي وضعت القواعد العليا للبيان، وفتحت الطريق أمام تاريخ طويل من الشعر والنثر والبلاغة والنقد داخل الحضارة الإسلامية.</w:t>
      </w:r>
    </w:p>
    <w:p w14:paraId="75ACECF5" w14:textId="77777777" w:rsidR="005370FF" w:rsidRDefault="005370FF" w:rsidP="005370FF">
      <w:pPr>
        <w:bidi/>
        <w:spacing w:before="200" w:after="80"/>
        <w:rPr>
          <w:rFonts w:ascii="Arial" w:eastAsia="Arial" w:hAnsi="Arial" w:cs="Arial"/>
          <w:b/>
          <w:color w:val="1B5E20"/>
          <w:sz w:val="28"/>
        </w:rPr>
      </w:pPr>
    </w:p>
    <w:p w14:paraId="7DBD47B0" w14:textId="77777777" w:rsidR="005370FF" w:rsidRDefault="005370FF" w:rsidP="005370FF">
      <w:pPr>
        <w:bidi/>
        <w:spacing w:before="200" w:after="80"/>
        <w:rPr>
          <w:rFonts w:ascii="Arial" w:eastAsia="Arial" w:hAnsi="Arial" w:cs="Arial"/>
          <w:b/>
          <w:color w:val="1B5E20"/>
          <w:sz w:val="28"/>
        </w:rPr>
      </w:pPr>
    </w:p>
    <w:p w14:paraId="405FF922" w14:textId="77777777" w:rsidR="005370FF" w:rsidRDefault="005370FF" w:rsidP="005370FF">
      <w:pPr>
        <w:bidi/>
        <w:spacing w:before="200" w:after="80"/>
        <w:rPr>
          <w:rFonts w:ascii="Arial" w:eastAsia="Arial" w:hAnsi="Arial" w:cs="Arial"/>
          <w:b/>
          <w:color w:val="1B5E20"/>
          <w:sz w:val="28"/>
        </w:rPr>
      </w:pPr>
    </w:p>
    <w:p w14:paraId="47EB3204" w14:textId="77777777" w:rsidR="005370FF" w:rsidRDefault="005370FF" w:rsidP="005370FF">
      <w:pPr>
        <w:bidi/>
        <w:spacing w:before="200" w:after="80"/>
        <w:rPr>
          <w:rFonts w:ascii="Arial" w:eastAsia="Arial" w:hAnsi="Arial" w:cs="Arial"/>
          <w:b/>
          <w:color w:val="1B5E20"/>
          <w:sz w:val="28"/>
        </w:rPr>
      </w:pPr>
    </w:p>
    <w:p w14:paraId="2EC43F83" w14:textId="3CE5689D" w:rsidR="009A1327" w:rsidRDefault="00000000" w:rsidP="005370FF">
      <w:pPr>
        <w:bidi/>
        <w:spacing w:before="200" w:after="80"/>
      </w:pPr>
      <w:r>
        <w:rPr>
          <w:rFonts w:ascii="Arial" w:eastAsia="Arial" w:hAnsi="Arial" w:cs="Arial"/>
          <w:b/>
          <w:color w:val="1B5E20"/>
          <w:sz w:val="28"/>
        </w:rPr>
        <w:t>المصادر البريطانية المستخدمة</w:t>
      </w:r>
    </w:p>
    <w:p w14:paraId="39C54AB9" w14:textId="77777777" w:rsidR="009A1327" w:rsidRDefault="00000000" w:rsidP="005370FF">
      <w:pPr>
        <w:bidi/>
        <w:spacing w:after="120" w:line="300" w:lineRule="auto"/>
      </w:pPr>
      <w:r>
        <w:rPr>
          <w:rFonts w:ascii="Arial" w:eastAsia="Arial" w:hAnsi="Arial" w:cs="Arial"/>
          <w:color w:val="505050"/>
          <w:sz w:val="23"/>
        </w:rPr>
        <w:lastRenderedPageBreak/>
        <w:t>جميع الروابط التالية من Encyclopaedia Britannica، وهي الأساس الوحيد الذي بُني عليه هذا الملف. تم إدراجها بصيغتها المباشرة لتسهيل الرجوع إلى المادة الأصلية.</w:t>
      </w:r>
    </w:p>
    <w:p w14:paraId="60D075A5" w14:textId="77777777" w:rsidR="009A1327" w:rsidRDefault="00000000" w:rsidP="005370FF">
      <w:pPr>
        <w:bidi/>
        <w:spacing w:after="40" w:line="264" w:lineRule="auto"/>
      </w:pPr>
      <w:r>
        <w:rPr>
          <w:rFonts w:ascii="Arial" w:eastAsia="Arial" w:hAnsi="Arial" w:cs="Arial"/>
          <w:b/>
          <w:sz w:val="24"/>
        </w:rPr>
        <w:t>1. Arabic literature</w:t>
      </w:r>
    </w:p>
    <w:p w14:paraId="383E1DFF" w14:textId="77777777" w:rsidR="009A1327" w:rsidRDefault="00000000" w:rsidP="005370FF">
      <w:pPr>
        <w:bidi/>
        <w:spacing w:after="120" w:line="240" w:lineRule="auto"/>
      </w:pPr>
      <w:r>
        <w:rPr>
          <w:rFonts w:ascii="Arial" w:eastAsia="Arial" w:hAnsi="Arial" w:cs="Arial"/>
          <w:color w:val="0563C1"/>
          <w:sz w:val="21"/>
        </w:rPr>
        <w:t>https://www.britannica.com/art/Arabic-literature</w:t>
      </w:r>
    </w:p>
    <w:p w14:paraId="42119E6C" w14:textId="77777777" w:rsidR="009A1327" w:rsidRDefault="00000000" w:rsidP="005370FF">
      <w:pPr>
        <w:bidi/>
        <w:spacing w:after="40" w:line="264" w:lineRule="auto"/>
      </w:pPr>
      <w:r>
        <w:rPr>
          <w:rFonts w:ascii="Arial" w:eastAsia="Arial" w:hAnsi="Arial" w:cs="Arial"/>
          <w:b/>
          <w:sz w:val="24"/>
        </w:rPr>
        <w:t>2. Islamic arts - Early Islamic literature</w:t>
      </w:r>
    </w:p>
    <w:p w14:paraId="38F76675" w14:textId="77777777" w:rsidR="009A1327" w:rsidRDefault="00000000" w:rsidP="005370FF">
      <w:pPr>
        <w:bidi/>
        <w:spacing w:after="120" w:line="240" w:lineRule="auto"/>
      </w:pPr>
      <w:r>
        <w:rPr>
          <w:rFonts w:ascii="Arial" w:eastAsia="Arial" w:hAnsi="Arial" w:cs="Arial"/>
          <w:color w:val="0563C1"/>
          <w:sz w:val="21"/>
        </w:rPr>
        <w:t>https://www.britannica.com/topic/Islamic-arts/Early-Islamic-literature</w:t>
      </w:r>
    </w:p>
    <w:p w14:paraId="06226C73" w14:textId="77777777" w:rsidR="009A1327" w:rsidRDefault="00000000" w:rsidP="005370FF">
      <w:pPr>
        <w:bidi/>
        <w:spacing w:after="40" w:line="264" w:lineRule="auto"/>
      </w:pPr>
      <w:r>
        <w:rPr>
          <w:rFonts w:ascii="Arial" w:eastAsia="Arial" w:hAnsi="Arial" w:cs="Arial"/>
          <w:b/>
          <w:sz w:val="24"/>
        </w:rPr>
        <w:t>3. Islamic arts - Islamic literatures</w:t>
      </w:r>
    </w:p>
    <w:p w14:paraId="71A7385D" w14:textId="77777777" w:rsidR="009A1327" w:rsidRDefault="00000000" w:rsidP="005370FF">
      <w:pPr>
        <w:bidi/>
        <w:spacing w:after="120" w:line="240" w:lineRule="auto"/>
      </w:pPr>
      <w:r>
        <w:rPr>
          <w:rFonts w:ascii="Arial" w:eastAsia="Arial" w:hAnsi="Arial" w:cs="Arial"/>
          <w:color w:val="0563C1"/>
          <w:sz w:val="21"/>
        </w:rPr>
        <w:t>https://www.britannica.com/topic/Islamic-arts/Islamic-literatures</w:t>
      </w:r>
    </w:p>
    <w:sectPr w:rsidR="009A1327"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F976" w14:textId="77777777" w:rsidR="00364AAA" w:rsidRDefault="00364AAA">
      <w:pPr>
        <w:spacing w:after="0" w:line="240" w:lineRule="auto"/>
      </w:pPr>
      <w:r>
        <w:separator/>
      </w:r>
    </w:p>
  </w:endnote>
  <w:endnote w:type="continuationSeparator" w:id="0">
    <w:p w14:paraId="05CC981A" w14:textId="77777777" w:rsidR="00364AAA" w:rsidRDefault="0036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7985" w14:textId="554ECE38" w:rsidR="009A1327" w:rsidRDefault="009A1327">
    <w:pPr>
      <w:pStyle w:val="Footer"/>
      <w:bidi/>
      <w:jc w:val="center"/>
      <w:rPr>
        <w:rFonts w:hint="cs"/>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3A6F" w14:textId="77777777" w:rsidR="00364AAA" w:rsidRDefault="00364AAA">
      <w:pPr>
        <w:spacing w:after="0" w:line="240" w:lineRule="auto"/>
      </w:pPr>
      <w:r>
        <w:separator/>
      </w:r>
    </w:p>
  </w:footnote>
  <w:footnote w:type="continuationSeparator" w:id="0">
    <w:p w14:paraId="228575C7" w14:textId="77777777" w:rsidR="00364AAA" w:rsidRDefault="0036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266886">
    <w:abstractNumId w:val="8"/>
  </w:num>
  <w:num w:numId="2" w16cid:durableId="965355215">
    <w:abstractNumId w:val="6"/>
  </w:num>
  <w:num w:numId="3" w16cid:durableId="1745838915">
    <w:abstractNumId w:val="5"/>
  </w:num>
  <w:num w:numId="4" w16cid:durableId="445470438">
    <w:abstractNumId w:val="4"/>
  </w:num>
  <w:num w:numId="5" w16cid:durableId="960577162">
    <w:abstractNumId w:val="7"/>
  </w:num>
  <w:num w:numId="6" w16cid:durableId="2100759295">
    <w:abstractNumId w:val="3"/>
  </w:num>
  <w:num w:numId="7" w16cid:durableId="1963223532">
    <w:abstractNumId w:val="2"/>
  </w:num>
  <w:num w:numId="8" w16cid:durableId="1276139618">
    <w:abstractNumId w:val="1"/>
  </w:num>
  <w:num w:numId="9" w16cid:durableId="164195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AAA"/>
    <w:rsid w:val="00507713"/>
    <w:rsid w:val="005370FF"/>
    <w:rsid w:val="009A13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0CFE1"/>
  <w14:defaultImageDpi w14:val="300"/>
  <w15:docId w15:val="{7F54E62B-B925-41E4-AA8B-5577C025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2026-04-07T14:09:00Z</dcterms:modified>
  <cp:category/>
</cp:coreProperties>
</file>