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CCB8E" w14:textId="77777777" w:rsidR="003F1B77" w:rsidRDefault="00000000" w:rsidP="005F205B">
      <w:pPr>
        <w:bidi/>
        <w:spacing w:after="80"/>
      </w:pPr>
      <w:r>
        <w:rPr>
          <w:rFonts w:ascii="Arial" w:eastAsia="Arial" w:hAnsi="Arial" w:cs="Arial"/>
          <w:b/>
          <w:color w:val="113B5F"/>
          <w:sz w:val="42"/>
        </w:rPr>
        <w:t>الأدب في العصر الأموي</w:t>
      </w:r>
    </w:p>
    <w:p w14:paraId="0500C883" w14:textId="77777777" w:rsidR="003F1B77" w:rsidRDefault="00000000" w:rsidP="005F205B">
      <w:pPr>
        <w:bidi/>
      </w:pPr>
      <w:r>
        <w:rPr>
          <w:rFonts w:ascii="Arial" w:eastAsia="Arial" w:hAnsi="Arial" w:cs="Arial"/>
          <w:color w:val="A0A0A0"/>
        </w:rPr>
        <w:t>────────────────────────────────────────────</w:t>
      </w:r>
    </w:p>
    <w:p w14:paraId="0A18ED8F" w14:textId="77777777" w:rsidR="003F1B77" w:rsidRDefault="00000000" w:rsidP="005F205B">
      <w:pPr>
        <w:bidi/>
        <w:spacing w:before="200" w:after="80"/>
      </w:pPr>
      <w:r>
        <w:rPr>
          <w:rFonts w:ascii="Arial" w:eastAsia="Arial" w:hAnsi="Arial" w:cs="Arial"/>
          <w:b/>
          <w:color w:val="1B5E20"/>
          <w:sz w:val="28"/>
        </w:rPr>
        <w:t>ملاحظة منهجية</w:t>
      </w:r>
    </w:p>
    <w:p w14:paraId="795E419D" w14:textId="5FA0679B" w:rsidR="003F1B77" w:rsidRDefault="00000000" w:rsidP="005F205B">
      <w:pPr>
        <w:bidi/>
        <w:spacing w:after="120" w:line="300" w:lineRule="auto"/>
        <w:ind w:firstLine="340"/>
        <w:rPr>
          <w:rFonts w:hint="cs"/>
          <w:rtl/>
          <w:lang w:bidi="ar-EG"/>
        </w:rPr>
      </w:pPr>
      <w:r>
        <w:rPr>
          <w:rFonts w:ascii="Arial" w:eastAsia="Arial" w:hAnsi="Arial" w:cs="Arial"/>
          <w:sz w:val="25"/>
        </w:rPr>
        <w:t xml:space="preserve">يعتمد هذا الملف على ما </w:t>
      </w:r>
      <w:proofErr w:type="gramStart"/>
      <w:r>
        <w:rPr>
          <w:rFonts w:ascii="Arial" w:eastAsia="Arial" w:hAnsi="Arial" w:cs="Arial"/>
          <w:sz w:val="25"/>
        </w:rPr>
        <w:t>تعرضه  في</w:t>
      </w:r>
      <w:proofErr w:type="gramEnd"/>
      <w:r>
        <w:rPr>
          <w:rFonts w:ascii="Arial" w:eastAsia="Arial" w:hAnsi="Arial" w:cs="Arial"/>
          <w:sz w:val="25"/>
        </w:rPr>
        <w:t xml:space="preserve"> مدخل Early Islamic </w:t>
      </w:r>
      <w:proofErr w:type="spellStart"/>
      <w:r>
        <w:rPr>
          <w:rFonts w:ascii="Arial" w:eastAsia="Arial" w:hAnsi="Arial" w:cs="Arial"/>
          <w:sz w:val="25"/>
        </w:rPr>
        <w:t>literatureمع</w:t>
      </w:r>
      <w:proofErr w:type="spellEnd"/>
      <w:r>
        <w:rPr>
          <w:rFonts w:ascii="Arial" w:eastAsia="Arial" w:hAnsi="Arial" w:cs="Arial"/>
          <w:sz w:val="25"/>
        </w:rPr>
        <w:t xml:space="preserve"> </w:t>
      </w:r>
      <w:proofErr w:type="spellStart"/>
      <w:r>
        <w:rPr>
          <w:rFonts w:ascii="Arial" w:eastAsia="Arial" w:hAnsi="Arial" w:cs="Arial"/>
          <w:sz w:val="25"/>
        </w:rPr>
        <w:t>الاستناد</w:t>
      </w:r>
      <w:proofErr w:type="spellEnd"/>
      <w:r>
        <w:rPr>
          <w:rFonts w:ascii="Arial" w:eastAsia="Arial" w:hAnsi="Arial" w:cs="Arial"/>
          <w:sz w:val="25"/>
        </w:rPr>
        <w:t xml:space="preserve"> </w:t>
      </w:r>
      <w:proofErr w:type="spellStart"/>
      <w:r>
        <w:rPr>
          <w:rFonts w:ascii="Arial" w:eastAsia="Arial" w:hAnsi="Arial" w:cs="Arial"/>
          <w:sz w:val="25"/>
        </w:rPr>
        <w:t>إلى</w:t>
      </w:r>
      <w:proofErr w:type="spellEnd"/>
      <w:r>
        <w:rPr>
          <w:rFonts w:ascii="Arial" w:eastAsia="Arial" w:hAnsi="Arial" w:cs="Arial"/>
          <w:sz w:val="25"/>
        </w:rPr>
        <w:t xml:space="preserve"> </w:t>
      </w:r>
      <w:proofErr w:type="spellStart"/>
      <w:r>
        <w:rPr>
          <w:rFonts w:ascii="Arial" w:eastAsia="Arial" w:hAnsi="Arial" w:cs="Arial"/>
          <w:sz w:val="25"/>
        </w:rPr>
        <w:t>مدخل</w:t>
      </w:r>
      <w:proofErr w:type="spellEnd"/>
      <w:r>
        <w:rPr>
          <w:rFonts w:ascii="Arial" w:eastAsia="Arial" w:hAnsi="Arial" w:cs="Arial"/>
          <w:sz w:val="25"/>
        </w:rPr>
        <w:t xml:space="preserve"> </w:t>
      </w:r>
      <w:proofErr w:type="spellStart"/>
      <w:r>
        <w:rPr>
          <w:rFonts w:ascii="Arial" w:eastAsia="Arial" w:hAnsi="Arial" w:cs="Arial"/>
          <w:sz w:val="25"/>
        </w:rPr>
        <w:t>لإضاءة</w:t>
      </w:r>
      <w:proofErr w:type="spellEnd"/>
      <w:r>
        <w:rPr>
          <w:rFonts w:ascii="Arial" w:eastAsia="Arial" w:hAnsi="Arial" w:cs="Arial"/>
          <w:sz w:val="25"/>
        </w:rPr>
        <w:t xml:space="preserve"> </w:t>
      </w:r>
      <w:proofErr w:type="spellStart"/>
      <w:r>
        <w:rPr>
          <w:rFonts w:ascii="Arial" w:eastAsia="Arial" w:hAnsi="Arial" w:cs="Arial"/>
          <w:sz w:val="25"/>
        </w:rPr>
        <w:t>مفهوم</w:t>
      </w:r>
      <w:proofErr w:type="spellEnd"/>
      <w:r>
        <w:rPr>
          <w:rFonts w:ascii="Arial" w:eastAsia="Arial" w:hAnsi="Arial" w:cs="Arial"/>
          <w:sz w:val="25"/>
        </w:rPr>
        <w:t xml:space="preserve"> </w:t>
      </w:r>
      <w:proofErr w:type="spellStart"/>
      <w:r>
        <w:rPr>
          <w:rFonts w:ascii="Arial" w:eastAsia="Arial" w:hAnsi="Arial" w:cs="Arial"/>
          <w:sz w:val="25"/>
        </w:rPr>
        <w:t>الأدب</w:t>
      </w:r>
      <w:proofErr w:type="spellEnd"/>
      <w:r>
        <w:rPr>
          <w:rFonts w:ascii="Arial" w:eastAsia="Arial" w:hAnsi="Arial" w:cs="Arial"/>
          <w:sz w:val="25"/>
        </w:rPr>
        <w:t xml:space="preserve"> </w:t>
      </w:r>
      <w:proofErr w:type="spellStart"/>
      <w:r>
        <w:rPr>
          <w:rFonts w:ascii="Arial" w:eastAsia="Arial" w:hAnsi="Arial" w:cs="Arial"/>
          <w:sz w:val="25"/>
        </w:rPr>
        <w:t>العربي</w:t>
      </w:r>
      <w:proofErr w:type="spellEnd"/>
      <w:r>
        <w:rPr>
          <w:rFonts w:ascii="Arial" w:eastAsia="Arial" w:hAnsi="Arial" w:cs="Arial"/>
          <w:sz w:val="25"/>
        </w:rPr>
        <w:t xml:space="preserve"> وسياقه العام. ولا </w:t>
      </w:r>
      <w:proofErr w:type="gramStart"/>
      <w:r>
        <w:rPr>
          <w:rFonts w:ascii="Arial" w:eastAsia="Arial" w:hAnsi="Arial" w:cs="Arial"/>
          <w:sz w:val="25"/>
        </w:rPr>
        <w:t>تخصّ  العصر</w:t>
      </w:r>
      <w:proofErr w:type="gramEnd"/>
      <w:r>
        <w:rPr>
          <w:rFonts w:ascii="Arial" w:eastAsia="Arial" w:hAnsi="Arial" w:cs="Arial"/>
          <w:sz w:val="25"/>
        </w:rPr>
        <w:t xml:space="preserve"> الأموي بمقال منفرد طويل مثل العباسي، لكنها تقدم مادة كافية لرسم صورة عميقة عن تحولات الشعر والنثر في هذا العصر.</w:t>
      </w:r>
    </w:p>
    <w:p w14:paraId="30082CDB" w14:textId="77777777" w:rsidR="003F1B77" w:rsidRDefault="00000000" w:rsidP="005F205B">
      <w:pPr>
        <w:bidi/>
        <w:spacing w:before="200" w:after="80"/>
      </w:pPr>
      <w:proofErr w:type="spellStart"/>
      <w:r>
        <w:rPr>
          <w:rFonts w:ascii="Arial" w:eastAsia="Arial" w:hAnsi="Arial" w:cs="Arial"/>
          <w:b/>
          <w:color w:val="1B5E20"/>
          <w:sz w:val="28"/>
        </w:rPr>
        <w:t>أولاً</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موقع</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العصر</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الأموي</w:t>
      </w:r>
      <w:proofErr w:type="spellEnd"/>
      <w:r>
        <w:rPr>
          <w:rFonts w:ascii="Arial" w:eastAsia="Arial" w:hAnsi="Arial" w:cs="Arial"/>
          <w:b/>
          <w:color w:val="1B5E20"/>
          <w:sz w:val="28"/>
        </w:rPr>
        <w:t xml:space="preserve"> في تاريخ الأدب الإسلامي</w:t>
      </w:r>
    </w:p>
    <w:p w14:paraId="44AD9B1C" w14:textId="5B11B755" w:rsidR="003F1B77" w:rsidRDefault="00000000" w:rsidP="005F205B">
      <w:pPr>
        <w:bidi/>
        <w:spacing w:after="120" w:line="300" w:lineRule="auto"/>
        <w:ind w:firstLine="340"/>
      </w:pPr>
      <w:r>
        <w:rPr>
          <w:rFonts w:ascii="Arial" w:eastAsia="Arial" w:hAnsi="Arial" w:cs="Arial"/>
          <w:sz w:val="25"/>
        </w:rPr>
        <w:t xml:space="preserve">بعد انتهاء عصر الخلفاء الراشدين وقيام الدولة الأموية سنة 661، </w:t>
      </w:r>
      <w:proofErr w:type="gramStart"/>
      <w:r>
        <w:rPr>
          <w:rFonts w:ascii="Arial" w:eastAsia="Arial" w:hAnsi="Arial" w:cs="Arial"/>
          <w:sz w:val="25"/>
        </w:rPr>
        <w:t>تذكر  أن</w:t>
      </w:r>
      <w:proofErr w:type="gramEnd"/>
      <w:r>
        <w:rPr>
          <w:rFonts w:ascii="Arial" w:eastAsia="Arial" w:hAnsi="Arial" w:cs="Arial"/>
          <w:sz w:val="25"/>
        </w:rPr>
        <w:t xml:space="preserve"> دفعة جديدة في الشعر أصبحت محسوسة سريعًا. فالأمويون، في صورتها، لم يكونوا أسرة زهد وانقباض، بل طبقة حاكمة عرفت ترف الإقامة في دمشق وقصور الصحراء السورية، واستمتعت بملذات الحياة. وقد انعكس هذا على الذائقة الشعرية، فظهر شعرٌ أكثر خفةً وحيوية، واتسعت موضوعات الحب والخمر والوصف، مع بقاء القصيدة التقليدية قوية في المدح والهجاء والفخر.</w:t>
      </w:r>
    </w:p>
    <w:p w14:paraId="53245AEF" w14:textId="77777777" w:rsidR="003F1B77" w:rsidRDefault="00000000" w:rsidP="005F205B">
      <w:pPr>
        <w:bidi/>
        <w:spacing w:before="200" w:after="80"/>
      </w:pPr>
      <w:r>
        <w:rPr>
          <w:rFonts w:ascii="Arial" w:eastAsia="Arial" w:hAnsi="Arial" w:cs="Arial"/>
          <w:b/>
          <w:color w:val="1B5E20"/>
          <w:sz w:val="28"/>
        </w:rPr>
        <w:t>ثانيًا: استمرار القصيدة القديمة مع تغيير المزاج</w:t>
      </w:r>
    </w:p>
    <w:p w14:paraId="34C173E4" w14:textId="15CF41F3" w:rsidR="003F1B77" w:rsidRDefault="00000000" w:rsidP="005F205B">
      <w:pPr>
        <w:bidi/>
        <w:spacing w:after="120" w:line="300" w:lineRule="auto"/>
        <w:ind w:firstLine="340"/>
      </w:pPr>
      <w:proofErr w:type="gramStart"/>
      <w:r>
        <w:rPr>
          <w:rFonts w:ascii="Arial" w:eastAsia="Arial" w:hAnsi="Arial" w:cs="Arial"/>
          <w:sz w:val="25"/>
        </w:rPr>
        <w:t>تؤكد  أن</w:t>
      </w:r>
      <w:proofErr w:type="gramEnd"/>
      <w:r>
        <w:rPr>
          <w:rFonts w:ascii="Arial" w:eastAsia="Arial" w:hAnsi="Arial" w:cs="Arial"/>
          <w:sz w:val="25"/>
        </w:rPr>
        <w:t xml:space="preserve"> القصيدة الكلاسيكية لم تُهمَل في العصر الأموي، بل بقيت حاضرة بقوة. ومع ذلك تغيّر المزاج الذي تُقال فيه القصيدة. فالبيئة الحضرية الجديدة، ووجود البلاط، وازدياد الثراء، كلها عوامل سمحت بموضوعات لم تعد أسيرة الصياغة القبلية الجافة. ولهذا نجد عند بعض شعراء العصر، بل عند بعض الخلفاء أنفسهم، ميلًا إلى الأوزان الأخفّ والموضوعات الأقرب إلى العيش الحضري واللذة الفردية.</w:t>
      </w:r>
    </w:p>
    <w:p w14:paraId="7C87CF56" w14:textId="77777777" w:rsidR="003F1B77" w:rsidRDefault="00000000" w:rsidP="005F205B">
      <w:pPr>
        <w:bidi/>
        <w:spacing w:before="200" w:after="80"/>
      </w:pPr>
      <w:r>
        <w:rPr>
          <w:rFonts w:ascii="Arial" w:eastAsia="Arial" w:hAnsi="Arial" w:cs="Arial"/>
          <w:b/>
          <w:color w:val="1B5E20"/>
          <w:sz w:val="28"/>
        </w:rPr>
        <w:t>ثالثًا: الغزل بوصفه فنًا مستقلًا</w:t>
      </w:r>
    </w:p>
    <w:p w14:paraId="012A0A76" w14:textId="6828CE3B" w:rsidR="003F1B77" w:rsidRDefault="00000000" w:rsidP="005F205B">
      <w:pPr>
        <w:bidi/>
        <w:spacing w:after="120" w:line="300" w:lineRule="auto"/>
        <w:ind w:firstLine="340"/>
      </w:pPr>
      <w:r>
        <w:rPr>
          <w:rFonts w:ascii="Arial" w:eastAsia="Arial" w:hAnsi="Arial" w:cs="Arial"/>
          <w:sz w:val="25"/>
        </w:rPr>
        <w:t xml:space="preserve">من أبرز ما تشدد </w:t>
      </w:r>
      <w:proofErr w:type="gramStart"/>
      <w:r>
        <w:rPr>
          <w:rFonts w:ascii="Arial" w:eastAsia="Arial" w:hAnsi="Arial" w:cs="Arial"/>
          <w:sz w:val="25"/>
        </w:rPr>
        <w:t>عليه  أن</w:t>
      </w:r>
      <w:proofErr w:type="gramEnd"/>
      <w:r>
        <w:rPr>
          <w:rFonts w:ascii="Arial" w:eastAsia="Arial" w:hAnsi="Arial" w:cs="Arial"/>
          <w:sz w:val="25"/>
        </w:rPr>
        <w:t xml:space="preserve"> العصر الأموي شهد نقلة حاسمة في تاريخ الغزل. فبعد أن كان الغزل كثيرًا ما يظهر في مقدمة القصيدة التقليدية، بدأ يتحول إلى غرض مستقل قائم بذاته. </w:t>
      </w:r>
      <w:proofErr w:type="gramStart"/>
      <w:r>
        <w:rPr>
          <w:rFonts w:ascii="Arial" w:eastAsia="Arial" w:hAnsi="Arial" w:cs="Arial"/>
          <w:sz w:val="25"/>
        </w:rPr>
        <w:t>وتقدّم  عمر</w:t>
      </w:r>
      <w:proofErr w:type="gramEnd"/>
      <w:r>
        <w:rPr>
          <w:rFonts w:ascii="Arial" w:eastAsia="Arial" w:hAnsi="Arial" w:cs="Arial"/>
          <w:sz w:val="25"/>
        </w:rPr>
        <w:t xml:space="preserve"> بن أبي ربيعة بوصفه أحد أهم من أسهموا في هذا التحول؛ إذ كتب قصائد مرحة رشيقة الإيقاع تتغنى بمغامرات الحب في مكة. وفي المقابل، تشير إلى أن المدينة اشتهرت بنمط آخر من الغزل المثالي العفيف المنسوب إلى بيئة عذرة، حيث غدا الحب الكامل والاستغراق العاطفي نفسه موضوعًا شعريًا مستقلاً.</w:t>
      </w:r>
    </w:p>
    <w:p w14:paraId="44DFF9DA" w14:textId="77777777" w:rsidR="003F1B77" w:rsidRDefault="00000000" w:rsidP="005F205B">
      <w:pPr>
        <w:bidi/>
        <w:spacing w:before="200" w:after="80"/>
      </w:pPr>
      <w:r>
        <w:rPr>
          <w:rFonts w:ascii="Arial" w:eastAsia="Arial" w:hAnsi="Arial" w:cs="Arial"/>
          <w:b/>
          <w:color w:val="1B5E20"/>
          <w:sz w:val="28"/>
        </w:rPr>
        <w:t>رابعًا: الخمر واللهو والشعر الحضري</w:t>
      </w:r>
    </w:p>
    <w:p w14:paraId="5F8107BF" w14:textId="007CA21A" w:rsidR="003F1B77" w:rsidRDefault="00000000" w:rsidP="005F205B">
      <w:pPr>
        <w:bidi/>
        <w:spacing w:after="120" w:line="300" w:lineRule="auto"/>
        <w:ind w:firstLine="340"/>
      </w:pPr>
      <w:proofErr w:type="gramStart"/>
      <w:r>
        <w:rPr>
          <w:rFonts w:ascii="Arial" w:eastAsia="Arial" w:hAnsi="Arial" w:cs="Arial"/>
          <w:sz w:val="25"/>
        </w:rPr>
        <w:t>تورد  مثال</w:t>
      </w:r>
      <w:proofErr w:type="gramEnd"/>
      <w:r>
        <w:rPr>
          <w:rFonts w:ascii="Arial" w:eastAsia="Arial" w:hAnsi="Arial" w:cs="Arial"/>
          <w:sz w:val="25"/>
        </w:rPr>
        <w:t xml:space="preserve"> الخليفة الأموي الوليد بن يزيد بوصفه شاعرًا اشتهر بأشعار الحب والخمر أكثر من شهرته بوصفه فاتحًا أو رجل دولة. وتصف قصائده بأنها خفيفة الإيقاع، سهلة الجرس، وتعكس إحساسًا باليسر والترف. وهذا المثال ليس تفصيلًا عرضيًا، بل يدل على أن البلاط نفسه أصبح جزءًا من الحياة الأدبية، وأن الشعر لم يعد مجرد سجل للبطولة القبلية، بل صار مرآة للمجالس والترف والذوق المدني.</w:t>
      </w:r>
    </w:p>
    <w:p w14:paraId="741310BC" w14:textId="77777777" w:rsidR="003F1B77" w:rsidRDefault="00000000" w:rsidP="005F205B">
      <w:pPr>
        <w:bidi/>
        <w:spacing w:before="200" w:after="80"/>
      </w:pPr>
      <w:r>
        <w:rPr>
          <w:rFonts w:ascii="Arial" w:eastAsia="Arial" w:hAnsi="Arial" w:cs="Arial"/>
          <w:b/>
          <w:color w:val="1B5E20"/>
          <w:sz w:val="28"/>
        </w:rPr>
        <w:t>خامسًا: النقائض والهجاء السياسي والاجتماعي</w:t>
      </w:r>
    </w:p>
    <w:p w14:paraId="1A760126" w14:textId="292B85B2" w:rsidR="003F1B77" w:rsidRDefault="00000000" w:rsidP="005F205B">
      <w:pPr>
        <w:bidi/>
        <w:spacing w:after="120" w:line="300" w:lineRule="auto"/>
        <w:ind w:firstLine="340"/>
      </w:pPr>
      <w:r>
        <w:rPr>
          <w:rFonts w:ascii="Arial" w:eastAsia="Arial" w:hAnsi="Arial" w:cs="Arial"/>
          <w:sz w:val="25"/>
        </w:rPr>
        <w:t xml:space="preserve">على الرغم من اتساع الغزل والخمر، لم تختف القصيدة الجدية. </w:t>
      </w:r>
      <w:proofErr w:type="gramStart"/>
      <w:r>
        <w:rPr>
          <w:rFonts w:ascii="Arial" w:eastAsia="Arial" w:hAnsi="Arial" w:cs="Arial"/>
          <w:sz w:val="25"/>
        </w:rPr>
        <w:t>وتمنح  أهمية</w:t>
      </w:r>
      <w:proofErr w:type="gramEnd"/>
      <w:r>
        <w:rPr>
          <w:rFonts w:ascii="Arial" w:eastAsia="Arial" w:hAnsi="Arial" w:cs="Arial"/>
          <w:sz w:val="25"/>
        </w:rPr>
        <w:t xml:space="preserve"> كبيرة للنقائض بين جرير والفرزدق، وترى فيها ظاهرة مركزية في الشعر الأموي. فهذه المبارزات الشعرية القائمة على الرد على القصيدة بمثل وزنها وقافيتها لم تكن لعبًا لغويًا فحسب، بل كانت سجالاً قبليًا واجتماعيًا وسياسيًا يعكس التنافس بين البصرة والكوفة وبيئات العراق المختلفة. </w:t>
      </w:r>
      <w:proofErr w:type="gramStart"/>
      <w:r>
        <w:rPr>
          <w:rFonts w:ascii="Arial" w:eastAsia="Arial" w:hAnsi="Arial" w:cs="Arial"/>
          <w:sz w:val="25"/>
        </w:rPr>
        <w:t>وتقول  إن</w:t>
      </w:r>
      <w:proofErr w:type="gramEnd"/>
      <w:r>
        <w:rPr>
          <w:rFonts w:ascii="Arial" w:eastAsia="Arial" w:hAnsi="Arial" w:cs="Arial"/>
          <w:sz w:val="25"/>
        </w:rPr>
        <w:t xml:space="preserve"> هذه المادة وفرت للنقاد والمؤرخين ثروة كبيرة لدراسة الأوضاع الاجتماعية والسياسية.</w:t>
      </w:r>
    </w:p>
    <w:p w14:paraId="3C16C43B" w14:textId="77777777" w:rsidR="003F1B77" w:rsidRDefault="00000000" w:rsidP="005F205B">
      <w:pPr>
        <w:bidi/>
        <w:spacing w:before="200" w:after="80"/>
      </w:pPr>
      <w:r>
        <w:rPr>
          <w:rFonts w:ascii="Arial" w:eastAsia="Arial" w:hAnsi="Arial" w:cs="Arial"/>
          <w:b/>
          <w:color w:val="1B5E20"/>
          <w:sz w:val="28"/>
        </w:rPr>
        <w:lastRenderedPageBreak/>
        <w:t>سادسًا: حضور غير المسلمين واستمرار التراث العربي القديم</w:t>
      </w:r>
    </w:p>
    <w:p w14:paraId="5072D277" w14:textId="05B4C407" w:rsidR="003F1B77" w:rsidRDefault="00000000" w:rsidP="005F205B">
      <w:pPr>
        <w:bidi/>
        <w:spacing w:after="120" w:line="300" w:lineRule="auto"/>
        <w:ind w:firstLine="340"/>
      </w:pPr>
      <w:r>
        <w:rPr>
          <w:rFonts w:ascii="Arial" w:eastAsia="Arial" w:hAnsi="Arial" w:cs="Arial"/>
          <w:sz w:val="25"/>
        </w:rPr>
        <w:t xml:space="preserve">من النقاط اللافتة </w:t>
      </w:r>
      <w:proofErr w:type="gramStart"/>
      <w:r>
        <w:rPr>
          <w:rFonts w:ascii="Arial" w:eastAsia="Arial" w:hAnsi="Arial" w:cs="Arial"/>
          <w:sz w:val="25"/>
        </w:rPr>
        <w:t>في  أن</w:t>
      </w:r>
      <w:proofErr w:type="gramEnd"/>
      <w:r>
        <w:rPr>
          <w:rFonts w:ascii="Arial" w:eastAsia="Arial" w:hAnsi="Arial" w:cs="Arial"/>
          <w:sz w:val="25"/>
        </w:rPr>
        <w:t xml:space="preserve"> الشعر الأموي الكلاسيكي لم يكن حكرًا على المسلمين. فهي تذكر الأخطل بوصفه شاهدًا على استمرار تقاليد عربية كلاسيكية يشارك فيها شعراء مسيحيون أيضًا، كما تبرز شهرته في شعر الخمر. وهذا مهم لأنه يبيّن أن الأدب العربي في العصر الأموي ظل فضاءً لغويًا وثقافيًا أوسع من مجرد الانتماء الديني الضيق، مع بقاء الإسلام إطارًا عامًا للحضارة والمجتمع.</w:t>
      </w:r>
    </w:p>
    <w:p w14:paraId="60010090" w14:textId="77777777" w:rsidR="003F1B77" w:rsidRDefault="00000000" w:rsidP="005F205B">
      <w:pPr>
        <w:bidi/>
        <w:spacing w:before="200" w:after="80"/>
      </w:pPr>
      <w:r>
        <w:rPr>
          <w:rFonts w:ascii="Arial" w:eastAsia="Arial" w:hAnsi="Arial" w:cs="Arial"/>
          <w:b/>
          <w:color w:val="1B5E20"/>
          <w:sz w:val="28"/>
        </w:rPr>
        <w:t>سابعًا: النثر في العصر الأموي</w:t>
      </w:r>
    </w:p>
    <w:p w14:paraId="217F6C48" w14:textId="02D0E32A" w:rsidR="003F1B77" w:rsidRDefault="00000000" w:rsidP="005F205B">
      <w:pPr>
        <w:bidi/>
        <w:spacing w:after="120" w:line="300" w:lineRule="auto"/>
        <w:ind w:firstLine="340"/>
      </w:pPr>
      <w:proofErr w:type="gramStart"/>
      <w:r>
        <w:rPr>
          <w:rFonts w:ascii="Arial" w:eastAsia="Arial" w:hAnsi="Arial" w:cs="Arial"/>
          <w:sz w:val="25"/>
        </w:rPr>
        <w:t>توضح  أن</w:t>
      </w:r>
      <w:proofErr w:type="gramEnd"/>
      <w:r>
        <w:rPr>
          <w:rFonts w:ascii="Arial" w:eastAsia="Arial" w:hAnsi="Arial" w:cs="Arial"/>
          <w:sz w:val="25"/>
        </w:rPr>
        <w:t xml:space="preserve"> النثر في هذا العصر ظل محدودًا نسبيًا إذا قورن بازدهاره العباسي اللاحق، وأنه بقي إلى حد كبير في نطاق الكتابة الدينية. ففيه تتسع حركة جمع الحديث، وتظهر العناية بالفقه والمسائل القانونية المتصلة بالقرآن. كما تستمر الخُطبة بوصفها وسيطًا عامًا يجمع بين الديني والسياسي، ويستمر القصاص في مخاطبة الجمهور بلغة سهلة التأثير. وعلى هذا الأساس يمكن القول إن النثر الأموي كان نثر تأسيس وتجميع وحفظ، لا نثر انفجار أجناسي واسع كما في بغداد العباسية.</w:t>
      </w:r>
    </w:p>
    <w:p w14:paraId="3069C313" w14:textId="77777777" w:rsidR="003F1B77" w:rsidRDefault="00000000" w:rsidP="005F205B">
      <w:pPr>
        <w:bidi/>
        <w:spacing w:before="200" w:after="80"/>
      </w:pPr>
      <w:r>
        <w:rPr>
          <w:rFonts w:ascii="Arial" w:eastAsia="Arial" w:hAnsi="Arial" w:cs="Arial"/>
          <w:b/>
          <w:color w:val="1B5E20"/>
          <w:sz w:val="28"/>
        </w:rPr>
        <w:t>ثامنًا: الأهمية التاريخية للعصر الأموي أدبيًا</w:t>
      </w:r>
    </w:p>
    <w:p w14:paraId="646D7D3A" w14:textId="22A77297" w:rsidR="003F1B77" w:rsidRDefault="00000000" w:rsidP="005F205B">
      <w:pPr>
        <w:bidi/>
        <w:spacing w:after="120" w:line="300" w:lineRule="auto"/>
        <w:ind w:firstLine="340"/>
      </w:pPr>
      <w:r>
        <w:rPr>
          <w:rFonts w:ascii="Arial" w:eastAsia="Arial" w:hAnsi="Arial" w:cs="Arial"/>
          <w:sz w:val="25"/>
        </w:rPr>
        <w:t xml:space="preserve">تكمن أهمية العصر الأموي </w:t>
      </w:r>
      <w:proofErr w:type="gramStart"/>
      <w:r>
        <w:rPr>
          <w:rFonts w:ascii="Arial" w:eastAsia="Arial" w:hAnsi="Arial" w:cs="Arial"/>
          <w:sz w:val="25"/>
        </w:rPr>
        <w:t>عند  في</w:t>
      </w:r>
      <w:proofErr w:type="gramEnd"/>
      <w:r>
        <w:rPr>
          <w:rFonts w:ascii="Arial" w:eastAsia="Arial" w:hAnsi="Arial" w:cs="Arial"/>
          <w:sz w:val="25"/>
        </w:rPr>
        <w:t xml:space="preserve"> أنه أعاد الشعر إلى مركز الحركة بعد التحفظ النسبي الذي ساد بدايات الإسلام، لكن من دون أن يعيده إلى صورته الجاهلية الخالصة. فهو عصر نشأ فيه الغزل المستقل، وتكثفت فيه النقائض، وبرزت فيه الخفة الموسيقية والروح الحضرية، مع استمرار القصيدة التقليدية بوصفها أداة للمدح والهجاء والتفاخر. كما أنه مهّد من جهة أخرى لظهور الأجناس النثرية العباسية؛ لأن جمع الحديث والفقه والخطابة في الأمويين وفّر أساسًا مهمًا للنثر الإسلامي اللاحق.</w:t>
      </w:r>
    </w:p>
    <w:p w14:paraId="576A054B" w14:textId="77777777" w:rsidR="003F1B77" w:rsidRDefault="00000000" w:rsidP="005F205B">
      <w:pPr>
        <w:bidi/>
        <w:spacing w:before="200" w:after="80"/>
      </w:pPr>
      <w:r>
        <w:rPr>
          <w:rFonts w:ascii="Arial" w:eastAsia="Arial" w:hAnsi="Arial" w:cs="Arial"/>
          <w:b/>
          <w:color w:val="1B5E20"/>
          <w:sz w:val="28"/>
        </w:rPr>
        <w:t>تاسعًا: الخلاصة</w:t>
      </w:r>
    </w:p>
    <w:p w14:paraId="1959E551" w14:textId="0CE3C468" w:rsidR="003F1B77" w:rsidRDefault="00000000" w:rsidP="005F205B">
      <w:pPr>
        <w:bidi/>
        <w:spacing w:after="120" w:line="300" w:lineRule="auto"/>
        <w:ind w:firstLine="340"/>
      </w:pPr>
      <w:r>
        <w:rPr>
          <w:rFonts w:ascii="Arial" w:eastAsia="Arial" w:hAnsi="Arial" w:cs="Arial"/>
          <w:sz w:val="25"/>
        </w:rPr>
        <w:t xml:space="preserve">الأدب الأموي </w:t>
      </w:r>
      <w:proofErr w:type="gramStart"/>
      <w:r>
        <w:rPr>
          <w:rFonts w:ascii="Arial" w:eastAsia="Arial" w:hAnsi="Arial" w:cs="Arial"/>
          <w:sz w:val="25"/>
        </w:rPr>
        <w:t>في  ليس</w:t>
      </w:r>
      <w:proofErr w:type="gramEnd"/>
      <w:r>
        <w:rPr>
          <w:rFonts w:ascii="Arial" w:eastAsia="Arial" w:hAnsi="Arial" w:cs="Arial"/>
          <w:sz w:val="25"/>
        </w:rPr>
        <w:t xml:space="preserve"> مجرد مرحلة وسطى بين صدر الإسلام والعباسيين، بل عصرٌ له شخصيته الواضحة. ففيه انتقلت القصيدة من الحنين الصحراوي الخالص إلى فضاء المدينة والبلاط، واستقل الغزل، واشتد الهجاء الجدلي، واستمرت الكتابة الدينية في تثبيت أصول النثر. ولهذا يبدو العصر الأموي مرحلة نضج مبكر جعلت الأدب العربي الإسلامي أكثر تنوعًا وأقرب إلى الحياة الاجتماعية والسياسية الجديدة للدولة الإسلامية.</w:t>
      </w:r>
    </w:p>
    <w:p w14:paraId="28BF0A73" w14:textId="77777777" w:rsidR="003F1B77" w:rsidRDefault="00000000" w:rsidP="005F205B">
      <w:pPr>
        <w:bidi/>
        <w:spacing w:before="200" w:after="80"/>
      </w:pPr>
      <w:r>
        <w:rPr>
          <w:rFonts w:ascii="Arial" w:eastAsia="Arial" w:hAnsi="Arial" w:cs="Arial"/>
          <w:b/>
          <w:color w:val="1B5E20"/>
          <w:sz w:val="28"/>
        </w:rPr>
        <w:t>المصادر البريطانية المستخدمة</w:t>
      </w:r>
    </w:p>
    <w:p w14:paraId="4400B631" w14:textId="18F28115" w:rsidR="003F1B77" w:rsidRDefault="00000000" w:rsidP="005F205B">
      <w:pPr>
        <w:bidi/>
        <w:spacing w:after="120" w:line="300" w:lineRule="auto"/>
      </w:pPr>
      <w:r>
        <w:rPr>
          <w:rFonts w:ascii="Arial" w:eastAsia="Arial" w:hAnsi="Arial" w:cs="Arial"/>
          <w:color w:val="505050"/>
          <w:sz w:val="23"/>
        </w:rPr>
        <w:t xml:space="preserve">جميع الروابط </w:t>
      </w:r>
      <w:proofErr w:type="spellStart"/>
      <w:r>
        <w:rPr>
          <w:rFonts w:ascii="Arial" w:eastAsia="Arial" w:hAnsi="Arial" w:cs="Arial"/>
          <w:color w:val="505050"/>
          <w:sz w:val="23"/>
        </w:rPr>
        <w:t>التالية</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من</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Encyclopaedia</w:t>
      </w:r>
      <w:proofErr w:type="spellEnd"/>
      <w:r>
        <w:rPr>
          <w:rFonts w:ascii="Arial" w:eastAsia="Arial" w:hAnsi="Arial" w:cs="Arial"/>
          <w:color w:val="505050"/>
          <w:sz w:val="23"/>
        </w:rPr>
        <w:t xml:space="preserve"> ، </w:t>
      </w:r>
      <w:proofErr w:type="spellStart"/>
      <w:r>
        <w:rPr>
          <w:rFonts w:ascii="Arial" w:eastAsia="Arial" w:hAnsi="Arial" w:cs="Arial"/>
          <w:color w:val="505050"/>
          <w:sz w:val="23"/>
        </w:rPr>
        <w:t>وهي</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الأساس</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الوحيد</w:t>
      </w:r>
      <w:proofErr w:type="spellEnd"/>
      <w:r>
        <w:rPr>
          <w:rFonts w:ascii="Arial" w:eastAsia="Arial" w:hAnsi="Arial" w:cs="Arial"/>
          <w:color w:val="505050"/>
          <w:sz w:val="23"/>
        </w:rPr>
        <w:t xml:space="preserve"> الذي بُني عليه هذا الملف. تم إدراجها بصيغتها المباشرة لتسهيل الرجوع إلى المادة الأصلية.</w:t>
      </w:r>
    </w:p>
    <w:p w14:paraId="6A5A5C86" w14:textId="77777777" w:rsidR="003F1B77" w:rsidRDefault="00000000" w:rsidP="005F205B">
      <w:pPr>
        <w:bidi/>
        <w:spacing w:after="40" w:line="264" w:lineRule="auto"/>
      </w:pPr>
      <w:r>
        <w:rPr>
          <w:rFonts w:ascii="Arial" w:eastAsia="Arial" w:hAnsi="Arial" w:cs="Arial"/>
          <w:b/>
          <w:sz w:val="24"/>
        </w:rPr>
        <w:t>1. Arabic literature</w:t>
      </w:r>
    </w:p>
    <w:p w14:paraId="279C8202" w14:textId="2A4EB80E" w:rsidR="003F1B77" w:rsidRDefault="00000000" w:rsidP="005F205B">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com/art/Arabic-literature</w:t>
      </w:r>
    </w:p>
    <w:p w14:paraId="3A344DD6" w14:textId="77777777" w:rsidR="003F1B77" w:rsidRDefault="00000000" w:rsidP="005F205B">
      <w:pPr>
        <w:bidi/>
        <w:spacing w:after="40" w:line="264" w:lineRule="auto"/>
      </w:pPr>
      <w:r>
        <w:rPr>
          <w:rFonts w:ascii="Arial" w:eastAsia="Arial" w:hAnsi="Arial" w:cs="Arial"/>
          <w:b/>
          <w:sz w:val="24"/>
        </w:rPr>
        <w:t>2. Islamic arts - Early Islamic literature</w:t>
      </w:r>
    </w:p>
    <w:p w14:paraId="039ACCAF" w14:textId="28F7B81F" w:rsidR="003F1B77" w:rsidRDefault="00000000" w:rsidP="005F205B">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com/topic/Islamic-arts/Early-Islamic-literature</w:t>
      </w:r>
    </w:p>
    <w:sectPr w:rsidR="003F1B77" w:rsidSect="00034616">
      <w:footerReference w:type="default" r:id="rId8"/>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2A246" w14:textId="77777777" w:rsidR="00D01784" w:rsidRDefault="00D01784">
      <w:pPr>
        <w:spacing w:after="0" w:line="240" w:lineRule="auto"/>
      </w:pPr>
      <w:r>
        <w:separator/>
      </w:r>
    </w:p>
  </w:endnote>
  <w:endnote w:type="continuationSeparator" w:id="0">
    <w:p w14:paraId="6C0234E7" w14:textId="77777777" w:rsidR="00D01784" w:rsidRDefault="00D01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4239B" w14:textId="2DE03AE6" w:rsidR="003F1B77" w:rsidRDefault="003F1B77">
    <w:pPr>
      <w:pStyle w:val="Footer"/>
      <w:bidi/>
      <w:jc w:val="center"/>
      <w:rPr>
        <w:rtl/>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C2541" w14:textId="77777777" w:rsidR="00D01784" w:rsidRDefault="00D01784">
      <w:pPr>
        <w:spacing w:after="0" w:line="240" w:lineRule="auto"/>
      </w:pPr>
      <w:r>
        <w:separator/>
      </w:r>
    </w:p>
  </w:footnote>
  <w:footnote w:type="continuationSeparator" w:id="0">
    <w:p w14:paraId="1EFC9F7E" w14:textId="77777777" w:rsidR="00D01784" w:rsidRDefault="00D017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741842">
    <w:abstractNumId w:val="8"/>
  </w:num>
  <w:num w:numId="2" w16cid:durableId="303317132">
    <w:abstractNumId w:val="6"/>
  </w:num>
  <w:num w:numId="3" w16cid:durableId="761678856">
    <w:abstractNumId w:val="5"/>
  </w:num>
  <w:num w:numId="4" w16cid:durableId="949510493">
    <w:abstractNumId w:val="4"/>
  </w:num>
  <w:num w:numId="5" w16cid:durableId="485054848">
    <w:abstractNumId w:val="7"/>
  </w:num>
  <w:num w:numId="6" w16cid:durableId="578952681">
    <w:abstractNumId w:val="3"/>
  </w:num>
  <w:num w:numId="7" w16cid:durableId="426731212">
    <w:abstractNumId w:val="2"/>
  </w:num>
  <w:num w:numId="8" w16cid:durableId="2134133553">
    <w:abstractNumId w:val="1"/>
  </w:num>
  <w:num w:numId="9" w16cid:durableId="1223634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EB9"/>
    <w:rsid w:val="0029639D"/>
    <w:rsid w:val="00326F90"/>
    <w:rsid w:val="003F1B77"/>
    <w:rsid w:val="005F205B"/>
    <w:rsid w:val="009B2868"/>
    <w:rsid w:val="00AA1D8D"/>
    <w:rsid w:val="00B47730"/>
    <w:rsid w:val="00BD52A7"/>
    <w:rsid w:val="00CB0664"/>
    <w:rsid w:val="00CC7BA8"/>
    <w:rsid w:val="00D017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14F03"/>
  <w14:defaultImageDpi w14:val="300"/>
  <w15:docId w15:val="{1051B985-1963-40DF-8889-7CC3817D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dcterms:created xsi:type="dcterms:W3CDTF">2013-12-23T23:15:00Z</dcterms:created>
  <dcterms:modified xsi:type="dcterms:W3CDTF">2026-04-07T14:17:00Z</dcterms:modified>
  <cp:category/>
</cp:coreProperties>
</file>